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B7" w:rsidRPr="00D83DB7" w:rsidRDefault="00D83DB7" w:rsidP="00D83DB7">
      <w:pPr>
        <w:pStyle w:val="2"/>
        <w:keepNext w:val="0"/>
        <w:autoSpaceDE w:val="0"/>
        <w:autoSpaceDN w:val="0"/>
        <w:adjustRightInd w:val="0"/>
        <w:spacing w:before="0"/>
        <w:jc w:val="both"/>
        <w:rPr>
          <w:rFonts w:ascii="Times New Roman" w:eastAsiaTheme="minorHAnsi" w:hAnsi="Times New Roman" w:cs="Times New Roman"/>
          <w:sz w:val="24"/>
          <w:szCs w:val="24"/>
          <w:lang w:eastAsia="en-US"/>
        </w:rPr>
      </w:pPr>
      <w:r w:rsidRPr="00D83DB7">
        <w:rPr>
          <w:rFonts w:ascii="Times New Roman" w:eastAsiaTheme="minorHAnsi" w:hAnsi="Times New Roman" w:cs="Times New Roman"/>
          <w:sz w:val="24"/>
          <w:szCs w:val="24"/>
          <w:lang w:eastAsia="en-US"/>
        </w:rPr>
        <w:t xml:space="preserve">Сообщение о существенном </w:t>
      </w:r>
      <w:proofErr w:type="gramStart"/>
      <w:r w:rsidRPr="00D83DB7">
        <w:rPr>
          <w:rFonts w:ascii="Times New Roman" w:eastAsiaTheme="minorHAnsi" w:hAnsi="Times New Roman" w:cs="Times New Roman"/>
          <w:sz w:val="24"/>
          <w:szCs w:val="24"/>
          <w:lang w:eastAsia="en-US"/>
        </w:rPr>
        <w:t>факте</w:t>
      </w:r>
      <w:proofErr w:type="gramEnd"/>
      <w:r w:rsidRPr="00D83DB7">
        <w:rPr>
          <w:rFonts w:ascii="Times New Roman" w:eastAsiaTheme="minorHAnsi" w:hAnsi="Times New Roman" w:cs="Times New Roman"/>
          <w:sz w:val="24"/>
          <w:szCs w:val="24"/>
          <w:lang w:eastAsia="en-US"/>
        </w:rPr>
        <w:t xml:space="preserve"> о совершении эмитентом или подконтрольной эмитенту организацией, имеющей для него существенное значение, существенной сделки</w:t>
      </w:r>
    </w:p>
    <w:p w:rsidR="009E002A" w:rsidRPr="0011425D" w:rsidRDefault="009E002A" w:rsidP="009E002A">
      <w:pPr>
        <w:pStyle w:val="ConsPlusNormal"/>
        <w:ind w:right="1027"/>
        <w:jc w:val="center"/>
        <w:rPr>
          <w:rFonts w:ascii="Times New Roman" w:hAnsi="Times New Roman" w:cs="Times New Roman"/>
          <w:bCs/>
          <w:sz w:val="24"/>
          <w:szCs w:val="24"/>
        </w:rPr>
      </w:pPr>
      <w:bookmarkStart w:id="0" w:name="_GoBack"/>
      <w:bookmarkEnd w:id="0"/>
    </w:p>
    <w:tbl>
      <w:tblPr>
        <w:tblW w:w="98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29"/>
        <w:gridCol w:w="4680"/>
      </w:tblGrid>
      <w:tr w:rsidR="009E002A" w:rsidRPr="0011425D" w:rsidTr="009E002A">
        <w:trPr>
          <w:cantSplit/>
        </w:trPr>
        <w:tc>
          <w:tcPr>
            <w:tcW w:w="9809" w:type="dxa"/>
            <w:gridSpan w:val="2"/>
            <w:tcBorders>
              <w:top w:val="single" w:sz="4" w:space="0" w:color="auto"/>
              <w:left w:val="single" w:sz="4" w:space="0" w:color="auto"/>
              <w:bottom w:val="single" w:sz="4" w:space="0" w:color="auto"/>
              <w:right w:val="single" w:sz="4" w:space="0" w:color="auto"/>
            </w:tcBorders>
            <w:hideMark/>
          </w:tcPr>
          <w:p w:rsidR="009E002A" w:rsidRPr="0011425D" w:rsidRDefault="009E002A">
            <w:pPr>
              <w:jc w:val="center"/>
            </w:pPr>
            <w:r w:rsidRPr="0011425D">
              <w:t>1. Общие сведения</w:t>
            </w:r>
          </w:p>
        </w:tc>
      </w:tr>
      <w:tr w:rsidR="00330761" w:rsidRPr="0011425D" w:rsidTr="009E002A">
        <w:tc>
          <w:tcPr>
            <w:tcW w:w="5129"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adjustRightInd w:val="0"/>
              <w:jc w:val="both"/>
              <w:rPr>
                <w:szCs w:val="24"/>
              </w:rPr>
            </w:pPr>
            <w:r w:rsidRPr="0011425D">
              <w:rPr>
                <w:rFonts w:eastAsia="Calibri"/>
                <w:szCs w:val="24"/>
              </w:rPr>
              <w:t>1.1. Полное фирменное наименование (для коммерческой организации) или наименование (для некоммерческой организации) эмитента</w:t>
            </w:r>
          </w:p>
        </w:tc>
        <w:tc>
          <w:tcPr>
            <w:tcW w:w="4680"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widowControl w:val="0"/>
              <w:suppressLineNumbers/>
              <w:suppressAutoHyphens/>
              <w:ind w:left="57"/>
              <w:rPr>
                <w:szCs w:val="24"/>
              </w:rPr>
            </w:pPr>
            <w:r w:rsidRPr="0011425D">
              <w:rPr>
                <w:szCs w:val="24"/>
              </w:rPr>
              <w:t>Акционерное общество «</w:t>
            </w:r>
            <w:proofErr w:type="spellStart"/>
            <w:r w:rsidRPr="0011425D">
              <w:rPr>
                <w:szCs w:val="24"/>
              </w:rPr>
              <w:t>Ванинский</w:t>
            </w:r>
            <w:proofErr w:type="spellEnd"/>
            <w:r w:rsidRPr="0011425D">
              <w:rPr>
                <w:szCs w:val="24"/>
              </w:rPr>
              <w:t xml:space="preserve"> морской торговый порт»</w:t>
            </w:r>
          </w:p>
        </w:tc>
      </w:tr>
      <w:tr w:rsidR="00330761" w:rsidRPr="0011425D" w:rsidTr="009E002A">
        <w:tc>
          <w:tcPr>
            <w:tcW w:w="5129"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adjustRightInd w:val="0"/>
              <w:jc w:val="both"/>
              <w:rPr>
                <w:rFonts w:eastAsia="Calibri"/>
                <w:szCs w:val="24"/>
              </w:rPr>
            </w:pPr>
            <w:r w:rsidRPr="0011425D">
              <w:rPr>
                <w:rFonts w:eastAsia="Calibri"/>
                <w:szCs w:val="24"/>
              </w:rPr>
              <w:t>1.2. Адрес эмитента, указанный в едином государственном реестре юридических лиц</w:t>
            </w:r>
          </w:p>
        </w:tc>
        <w:tc>
          <w:tcPr>
            <w:tcW w:w="4680"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widowControl w:val="0"/>
              <w:suppressLineNumbers/>
              <w:suppressAutoHyphens/>
              <w:ind w:left="57"/>
              <w:rPr>
                <w:szCs w:val="24"/>
              </w:rPr>
            </w:pPr>
            <w:r w:rsidRPr="0011425D">
              <w:rPr>
                <w:rStyle w:val="Subst"/>
                <w:b w:val="0"/>
                <w:bCs/>
                <w:i w:val="0"/>
                <w:iCs/>
                <w:szCs w:val="24"/>
              </w:rPr>
              <w:t xml:space="preserve">682860 Российская Федерация, район </w:t>
            </w:r>
            <w:proofErr w:type="spellStart"/>
            <w:r w:rsidRPr="0011425D">
              <w:rPr>
                <w:rStyle w:val="Subst"/>
                <w:b w:val="0"/>
                <w:bCs/>
                <w:i w:val="0"/>
                <w:iCs/>
                <w:szCs w:val="24"/>
              </w:rPr>
              <w:t>Ванинский</w:t>
            </w:r>
            <w:proofErr w:type="spellEnd"/>
            <w:r w:rsidRPr="0011425D">
              <w:rPr>
                <w:rStyle w:val="Subst"/>
                <w:b w:val="0"/>
                <w:bCs/>
                <w:i w:val="0"/>
                <w:iCs/>
                <w:szCs w:val="24"/>
              </w:rPr>
              <w:t>, рабочий поселок Ванино, улица Железнодорожная, 1</w:t>
            </w:r>
          </w:p>
        </w:tc>
      </w:tr>
      <w:tr w:rsidR="00330761" w:rsidRPr="0011425D" w:rsidTr="009E002A">
        <w:tc>
          <w:tcPr>
            <w:tcW w:w="5129"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tabs>
                <w:tab w:val="left" w:pos="567"/>
              </w:tabs>
              <w:adjustRightInd w:val="0"/>
              <w:rPr>
                <w:szCs w:val="24"/>
              </w:rPr>
            </w:pPr>
            <w:r w:rsidRPr="0011425D">
              <w:rPr>
                <w:rFonts w:eastAsia="Calibri"/>
                <w:szCs w:val="24"/>
              </w:rPr>
              <w:t>1.3. Основной государственный регистрационный номер (ОГРН) эмитента (при наличии)</w:t>
            </w:r>
          </w:p>
        </w:tc>
        <w:tc>
          <w:tcPr>
            <w:tcW w:w="4680"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widowControl w:val="0"/>
              <w:suppressLineNumbers/>
              <w:suppressAutoHyphens/>
              <w:ind w:left="57"/>
              <w:rPr>
                <w:szCs w:val="24"/>
              </w:rPr>
            </w:pPr>
            <w:r w:rsidRPr="0011425D">
              <w:rPr>
                <w:szCs w:val="24"/>
              </w:rPr>
              <w:t>1022700711450</w:t>
            </w:r>
          </w:p>
        </w:tc>
      </w:tr>
      <w:tr w:rsidR="00330761" w:rsidRPr="0011425D" w:rsidTr="009E002A">
        <w:tc>
          <w:tcPr>
            <w:tcW w:w="5129"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adjustRightInd w:val="0"/>
              <w:rPr>
                <w:szCs w:val="24"/>
              </w:rPr>
            </w:pPr>
            <w:r w:rsidRPr="0011425D">
              <w:rPr>
                <w:rFonts w:eastAsia="Calibri"/>
                <w:szCs w:val="24"/>
              </w:rPr>
              <w:t>1.4. Идентификационный номер налогоплательщика (ИНН) эмитента (при наличии)</w:t>
            </w:r>
          </w:p>
        </w:tc>
        <w:tc>
          <w:tcPr>
            <w:tcW w:w="4680"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widowControl w:val="0"/>
              <w:suppressLineNumbers/>
              <w:suppressAutoHyphens/>
              <w:ind w:left="57"/>
              <w:rPr>
                <w:szCs w:val="24"/>
              </w:rPr>
            </w:pPr>
            <w:r w:rsidRPr="0011425D">
              <w:rPr>
                <w:szCs w:val="24"/>
              </w:rPr>
              <w:t>2709001590</w:t>
            </w:r>
          </w:p>
        </w:tc>
      </w:tr>
      <w:tr w:rsidR="00330761" w:rsidRPr="0011425D" w:rsidTr="009E002A">
        <w:tc>
          <w:tcPr>
            <w:tcW w:w="5129"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adjustRightInd w:val="0"/>
              <w:jc w:val="both"/>
              <w:rPr>
                <w:szCs w:val="24"/>
              </w:rPr>
            </w:pPr>
            <w:r w:rsidRPr="0011425D">
              <w:rPr>
                <w:rFonts w:eastAsia="Calibri"/>
                <w:szCs w:val="24"/>
              </w:rPr>
              <w:t>1.5. Уникальный код эмитента, присвоенный Банком России</w:t>
            </w:r>
          </w:p>
        </w:tc>
        <w:tc>
          <w:tcPr>
            <w:tcW w:w="4680"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widowControl w:val="0"/>
              <w:suppressLineNumbers/>
              <w:suppressAutoHyphens/>
              <w:ind w:left="57"/>
              <w:rPr>
                <w:szCs w:val="24"/>
              </w:rPr>
            </w:pPr>
            <w:r w:rsidRPr="0011425D">
              <w:rPr>
                <w:szCs w:val="24"/>
              </w:rPr>
              <w:t>31014-</w:t>
            </w:r>
            <w:r w:rsidRPr="0011425D">
              <w:rPr>
                <w:szCs w:val="24"/>
                <w:lang w:val="en-US"/>
              </w:rPr>
              <w:t>F</w:t>
            </w:r>
          </w:p>
        </w:tc>
      </w:tr>
      <w:tr w:rsidR="00330761" w:rsidRPr="0011425D" w:rsidTr="009E002A">
        <w:tc>
          <w:tcPr>
            <w:tcW w:w="5129" w:type="dxa"/>
            <w:tcBorders>
              <w:top w:val="single" w:sz="4" w:space="0" w:color="auto"/>
              <w:left w:val="single" w:sz="4" w:space="0" w:color="auto"/>
              <w:bottom w:val="single" w:sz="4" w:space="0" w:color="auto"/>
              <w:right w:val="single" w:sz="4" w:space="0" w:color="auto"/>
            </w:tcBorders>
            <w:hideMark/>
          </w:tcPr>
          <w:p w:rsidR="00330761" w:rsidRPr="0011425D" w:rsidRDefault="00330761" w:rsidP="00C86F3C">
            <w:pPr>
              <w:adjustRightInd w:val="0"/>
              <w:jc w:val="both"/>
              <w:rPr>
                <w:szCs w:val="24"/>
              </w:rPr>
            </w:pPr>
            <w:r w:rsidRPr="0011425D">
              <w:rPr>
                <w:rFonts w:eastAsia="Calibri"/>
                <w:szCs w:val="24"/>
              </w:rPr>
              <w:t>1.6. Адрес страницы в сети "Интернет", используемой эмитентом для раскрытия информации</w:t>
            </w:r>
          </w:p>
        </w:tc>
        <w:tc>
          <w:tcPr>
            <w:tcW w:w="4680" w:type="dxa"/>
            <w:tcBorders>
              <w:top w:val="single" w:sz="4" w:space="0" w:color="auto"/>
              <w:left w:val="single" w:sz="4" w:space="0" w:color="auto"/>
              <w:bottom w:val="single" w:sz="4" w:space="0" w:color="auto"/>
              <w:right w:val="single" w:sz="4" w:space="0" w:color="auto"/>
            </w:tcBorders>
            <w:hideMark/>
          </w:tcPr>
          <w:p w:rsidR="00330761" w:rsidRPr="0011425D" w:rsidRDefault="00A33861" w:rsidP="00C86F3C">
            <w:pPr>
              <w:widowControl w:val="0"/>
              <w:suppressLineNumbers/>
              <w:suppressAutoHyphens/>
              <w:ind w:left="57"/>
              <w:rPr>
                <w:szCs w:val="24"/>
              </w:rPr>
            </w:pPr>
            <w:hyperlink r:id="rId5" w:history="1">
              <w:r w:rsidR="00330761" w:rsidRPr="0011425D">
                <w:rPr>
                  <w:rStyle w:val="a7"/>
                  <w:color w:val="auto"/>
                  <w:szCs w:val="24"/>
                  <w:lang w:val="en-US"/>
                </w:rPr>
                <w:t>http</w:t>
              </w:r>
              <w:r w:rsidR="00330761" w:rsidRPr="0011425D">
                <w:rPr>
                  <w:rStyle w:val="a7"/>
                  <w:color w:val="auto"/>
                  <w:szCs w:val="24"/>
                </w:rPr>
                <w:t>://</w:t>
              </w:r>
              <w:r w:rsidR="00330761" w:rsidRPr="0011425D">
                <w:rPr>
                  <w:rStyle w:val="a7"/>
                  <w:color w:val="auto"/>
                  <w:szCs w:val="24"/>
                  <w:lang w:val="en-US"/>
                </w:rPr>
                <w:t>www</w:t>
              </w:r>
              <w:r w:rsidR="00330761" w:rsidRPr="0011425D">
                <w:rPr>
                  <w:rStyle w:val="a7"/>
                  <w:color w:val="auto"/>
                  <w:szCs w:val="24"/>
                </w:rPr>
                <w:t>.</w:t>
              </w:r>
              <w:r w:rsidR="00330761" w:rsidRPr="0011425D">
                <w:rPr>
                  <w:rStyle w:val="a7"/>
                  <w:color w:val="auto"/>
                  <w:szCs w:val="24"/>
                  <w:lang w:val="en-US"/>
                </w:rPr>
                <w:t>e</w:t>
              </w:r>
              <w:r w:rsidR="00330761" w:rsidRPr="0011425D">
                <w:rPr>
                  <w:rStyle w:val="a7"/>
                  <w:color w:val="auto"/>
                  <w:szCs w:val="24"/>
                </w:rPr>
                <w:t>-</w:t>
              </w:r>
              <w:r w:rsidR="00330761" w:rsidRPr="0011425D">
                <w:rPr>
                  <w:rStyle w:val="a7"/>
                  <w:color w:val="auto"/>
                  <w:szCs w:val="24"/>
                  <w:lang w:val="en-US"/>
                </w:rPr>
                <w:t>disclosure</w:t>
              </w:r>
              <w:r w:rsidR="00330761" w:rsidRPr="0011425D">
                <w:rPr>
                  <w:rStyle w:val="a7"/>
                  <w:color w:val="auto"/>
                  <w:szCs w:val="24"/>
                </w:rPr>
                <w:t>.</w:t>
              </w:r>
              <w:proofErr w:type="spellStart"/>
              <w:r w:rsidR="00330761" w:rsidRPr="0011425D">
                <w:rPr>
                  <w:rStyle w:val="a7"/>
                  <w:color w:val="auto"/>
                  <w:szCs w:val="24"/>
                  <w:lang w:val="en-US"/>
                </w:rPr>
                <w:t>ru</w:t>
              </w:r>
              <w:proofErr w:type="spellEnd"/>
              <w:r w:rsidR="00330761" w:rsidRPr="0011425D">
                <w:rPr>
                  <w:rStyle w:val="a7"/>
                  <w:color w:val="auto"/>
                  <w:szCs w:val="24"/>
                </w:rPr>
                <w:t>/</w:t>
              </w:r>
              <w:r w:rsidR="00330761" w:rsidRPr="0011425D">
                <w:rPr>
                  <w:rStyle w:val="a7"/>
                  <w:color w:val="auto"/>
                  <w:szCs w:val="24"/>
                  <w:lang w:val="en-US"/>
                </w:rPr>
                <w:t>portal</w:t>
              </w:r>
              <w:r w:rsidR="00330761" w:rsidRPr="0011425D">
                <w:rPr>
                  <w:rStyle w:val="a7"/>
                  <w:color w:val="auto"/>
                  <w:szCs w:val="24"/>
                </w:rPr>
                <w:t>/</w:t>
              </w:r>
              <w:r w:rsidR="00330761" w:rsidRPr="0011425D">
                <w:rPr>
                  <w:rStyle w:val="a7"/>
                  <w:color w:val="auto"/>
                  <w:szCs w:val="24"/>
                  <w:lang w:val="en-US"/>
                </w:rPr>
                <w:t>company</w:t>
              </w:r>
              <w:r w:rsidR="00330761" w:rsidRPr="0011425D">
                <w:rPr>
                  <w:rStyle w:val="a7"/>
                  <w:color w:val="auto"/>
                  <w:szCs w:val="24"/>
                </w:rPr>
                <w:t>.</w:t>
              </w:r>
              <w:proofErr w:type="spellStart"/>
              <w:r w:rsidR="00330761" w:rsidRPr="0011425D">
                <w:rPr>
                  <w:rStyle w:val="a7"/>
                  <w:color w:val="auto"/>
                  <w:szCs w:val="24"/>
                  <w:lang w:val="en-US"/>
                </w:rPr>
                <w:t>aspx</w:t>
              </w:r>
              <w:proofErr w:type="spellEnd"/>
              <w:r w:rsidR="00330761" w:rsidRPr="0011425D">
                <w:rPr>
                  <w:rStyle w:val="a7"/>
                  <w:color w:val="auto"/>
                  <w:szCs w:val="24"/>
                </w:rPr>
                <w:t>?</w:t>
              </w:r>
              <w:r w:rsidR="00330761" w:rsidRPr="0011425D">
                <w:rPr>
                  <w:rStyle w:val="a7"/>
                  <w:color w:val="auto"/>
                  <w:szCs w:val="24"/>
                  <w:lang w:val="en-US"/>
                </w:rPr>
                <w:t>id</w:t>
              </w:r>
              <w:r w:rsidR="00330761" w:rsidRPr="0011425D">
                <w:rPr>
                  <w:rStyle w:val="a7"/>
                  <w:color w:val="auto"/>
                  <w:szCs w:val="24"/>
                </w:rPr>
                <w:t>=9499</w:t>
              </w:r>
            </w:hyperlink>
          </w:p>
        </w:tc>
      </w:tr>
      <w:tr w:rsidR="00330761" w:rsidRPr="0011425D" w:rsidTr="009E002A">
        <w:trPr>
          <w:trHeight w:val="945"/>
        </w:trPr>
        <w:tc>
          <w:tcPr>
            <w:tcW w:w="5129" w:type="dxa"/>
            <w:tcBorders>
              <w:top w:val="single" w:sz="4" w:space="0" w:color="auto"/>
              <w:left w:val="single" w:sz="4" w:space="0" w:color="auto"/>
              <w:bottom w:val="single" w:sz="4" w:space="0" w:color="auto"/>
              <w:right w:val="single" w:sz="4" w:space="0" w:color="auto"/>
            </w:tcBorders>
          </w:tcPr>
          <w:p w:rsidR="00330761" w:rsidRPr="0011425D" w:rsidRDefault="00330761" w:rsidP="00C86F3C">
            <w:pPr>
              <w:adjustRightInd w:val="0"/>
              <w:jc w:val="both"/>
              <w:rPr>
                <w:szCs w:val="24"/>
              </w:rPr>
            </w:pPr>
            <w:r w:rsidRPr="0011425D">
              <w:rPr>
                <w:rFonts w:eastAsia="Calibri"/>
                <w:szCs w:val="24"/>
              </w:rPr>
              <w:t>1.7. Дата наступления события (существенного факта), о котором составлено сообщение</w:t>
            </w:r>
          </w:p>
        </w:tc>
        <w:tc>
          <w:tcPr>
            <w:tcW w:w="4680" w:type="dxa"/>
            <w:tcBorders>
              <w:top w:val="single" w:sz="4" w:space="0" w:color="auto"/>
              <w:left w:val="single" w:sz="4" w:space="0" w:color="auto"/>
              <w:bottom w:val="single" w:sz="4" w:space="0" w:color="auto"/>
              <w:right w:val="single" w:sz="4" w:space="0" w:color="auto"/>
            </w:tcBorders>
            <w:hideMark/>
          </w:tcPr>
          <w:p w:rsidR="00330761" w:rsidRPr="0011425D" w:rsidRDefault="00DD2608" w:rsidP="00C86F3C">
            <w:pPr>
              <w:widowControl w:val="0"/>
              <w:suppressLineNumbers/>
              <w:suppressAutoHyphens/>
              <w:ind w:left="57"/>
              <w:rPr>
                <w:szCs w:val="24"/>
              </w:rPr>
            </w:pPr>
            <w:r>
              <w:rPr>
                <w:szCs w:val="24"/>
              </w:rPr>
              <w:t>17</w:t>
            </w:r>
            <w:r w:rsidR="00330761" w:rsidRPr="0011425D">
              <w:rPr>
                <w:szCs w:val="24"/>
              </w:rPr>
              <w:t xml:space="preserve"> декабря 2021 г.</w:t>
            </w:r>
          </w:p>
        </w:tc>
      </w:tr>
    </w:tbl>
    <w:p w:rsidR="009E002A" w:rsidRPr="0011425D" w:rsidRDefault="009E002A" w:rsidP="009E002A"/>
    <w:tbl>
      <w:tblPr>
        <w:tblW w:w="98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809"/>
      </w:tblGrid>
      <w:tr w:rsidR="009E002A" w:rsidRPr="0011425D" w:rsidTr="009E002A">
        <w:tc>
          <w:tcPr>
            <w:tcW w:w="9809" w:type="dxa"/>
            <w:tcBorders>
              <w:top w:val="single" w:sz="4" w:space="0" w:color="auto"/>
              <w:left w:val="single" w:sz="4" w:space="0" w:color="auto"/>
              <w:bottom w:val="single" w:sz="4" w:space="0" w:color="auto"/>
              <w:right w:val="single" w:sz="4" w:space="0" w:color="auto"/>
            </w:tcBorders>
            <w:hideMark/>
          </w:tcPr>
          <w:p w:rsidR="009E002A" w:rsidRPr="0011425D" w:rsidRDefault="009E002A">
            <w:pPr>
              <w:jc w:val="center"/>
            </w:pPr>
            <w:r w:rsidRPr="0011425D">
              <w:t xml:space="preserve">2. Содержание сообщения </w:t>
            </w:r>
          </w:p>
        </w:tc>
      </w:tr>
      <w:tr w:rsidR="009E002A" w:rsidRPr="0011425D" w:rsidTr="009E002A">
        <w:trPr>
          <w:trHeight w:val="2513"/>
        </w:trPr>
        <w:tc>
          <w:tcPr>
            <w:tcW w:w="9809" w:type="dxa"/>
            <w:tcBorders>
              <w:top w:val="single" w:sz="4" w:space="0" w:color="auto"/>
              <w:left w:val="single" w:sz="4" w:space="0" w:color="auto"/>
              <w:bottom w:val="single" w:sz="4" w:space="0" w:color="auto"/>
              <w:right w:val="single" w:sz="4" w:space="0" w:color="auto"/>
            </w:tcBorders>
            <w:hideMark/>
          </w:tcPr>
          <w:p w:rsidR="009E002A" w:rsidRPr="0011425D" w:rsidRDefault="009E002A" w:rsidP="00EC3DA1">
            <w:pPr>
              <w:autoSpaceDE w:val="0"/>
              <w:autoSpaceDN w:val="0"/>
              <w:adjustRightInd w:val="0"/>
              <w:jc w:val="both"/>
              <w:rPr>
                <w:rFonts w:eastAsiaTheme="minorHAnsi"/>
                <w:szCs w:val="24"/>
                <w:lang w:eastAsia="en-US"/>
              </w:rPr>
            </w:pPr>
            <w:r w:rsidRPr="0011425D">
              <w:rPr>
                <w:szCs w:val="24"/>
              </w:rPr>
              <w:t xml:space="preserve">2.1. </w:t>
            </w:r>
            <w:r w:rsidR="00001D41" w:rsidRPr="0011425D">
              <w:rPr>
                <w:rFonts w:eastAsiaTheme="minorHAnsi"/>
                <w:szCs w:val="24"/>
                <w:lang w:eastAsia="en-US"/>
              </w:rPr>
              <w:t>Л</w:t>
            </w:r>
            <w:r w:rsidR="00EC3DA1" w:rsidRPr="0011425D">
              <w:rPr>
                <w:rFonts w:eastAsiaTheme="minorHAnsi"/>
                <w:szCs w:val="24"/>
                <w:lang w:eastAsia="en-US"/>
              </w:rPr>
              <w:t>ицо, которое совершило существенную сделку (эмитент; подконтрольная эмитенту организация, имеющая для него существенное значение)</w:t>
            </w:r>
            <w:r w:rsidRPr="0011425D">
              <w:rPr>
                <w:szCs w:val="24"/>
              </w:rPr>
              <w:t>: эмитент;</w:t>
            </w:r>
          </w:p>
          <w:p w:rsidR="009E002A" w:rsidRPr="0011425D" w:rsidRDefault="009E002A" w:rsidP="00EC3DA1">
            <w:pPr>
              <w:autoSpaceDE w:val="0"/>
              <w:autoSpaceDN w:val="0"/>
              <w:adjustRightInd w:val="0"/>
              <w:jc w:val="both"/>
              <w:rPr>
                <w:rFonts w:eastAsiaTheme="minorHAnsi"/>
                <w:szCs w:val="24"/>
                <w:lang w:eastAsia="en-US"/>
              </w:rPr>
            </w:pPr>
            <w:r w:rsidRPr="0011425D">
              <w:rPr>
                <w:szCs w:val="24"/>
              </w:rPr>
              <w:t xml:space="preserve">2.2. </w:t>
            </w:r>
            <w:proofErr w:type="gramStart"/>
            <w:r w:rsidR="00001D41" w:rsidRPr="0011425D">
              <w:rPr>
                <w:rFonts w:eastAsiaTheme="minorHAnsi"/>
                <w:szCs w:val="24"/>
                <w:lang w:eastAsia="en-US"/>
              </w:rPr>
              <w:t>К</w:t>
            </w:r>
            <w:r w:rsidR="00EC3DA1" w:rsidRPr="0011425D">
              <w:rPr>
                <w:rFonts w:eastAsiaTheme="minorHAnsi"/>
                <w:szCs w:val="24"/>
                <w:lang w:eastAsia="en-US"/>
              </w:rPr>
              <w:t>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w:t>
            </w:r>
            <w:r w:rsidRPr="0011425D">
              <w:rPr>
                <w:szCs w:val="24"/>
              </w:rPr>
              <w:t xml:space="preserve">: </w:t>
            </w:r>
            <w:r w:rsidR="00001D41" w:rsidRPr="0011425D">
              <w:rPr>
                <w:szCs w:val="24"/>
              </w:rPr>
              <w:t>крупная сделка</w:t>
            </w:r>
            <w:r w:rsidRPr="0011425D">
              <w:rPr>
                <w:szCs w:val="24"/>
              </w:rPr>
              <w:t>;</w:t>
            </w:r>
            <w:proofErr w:type="gramEnd"/>
          </w:p>
          <w:p w:rsidR="009E002A" w:rsidRPr="0011425D" w:rsidRDefault="009E002A" w:rsidP="00EC3DA1">
            <w:pPr>
              <w:autoSpaceDE w:val="0"/>
              <w:autoSpaceDN w:val="0"/>
              <w:adjustRightInd w:val="0"/>
              <w:jc w:val="both"/>
              <w:rPr>
                <w:rFonts w:eastAsiaTheme="minorHAnsi"/>
                <w:szCs w:val="24"/>
                <w:lang w:eastAsia="en-US"/>
              </w:rPr>
            </w:pPr>
            <w:r w:rsidRPr="0011425D">
              <w:rPr>
                <w:szCs w:val="24"/>
              </w:rPr>
              <w:t xml:space="preserve">2.3. </w:t>
            </w:r>
            <w:r w:rsidR="00001D41" w:rsidRPr="0011425D">
              <w:rPr>
                <w:rFonts w:eastAsiaTheme="minorHAnsi"/>
                <w:szCs w:val="24"/>
                <w:lang w:eastAsia="en-US"/>
              </w:rPr>
              <w:t>В</w:t>
            </w:r>
            <w:r w:rsidR="00EC3DA1" w:rsidRPr="0011425D">
              <w:rPr>
                <w:rFonts w:eastAsiaTheme="minorHAnsi"/>
                <w:szCs w:val="24"/>
                <w:lang w:eastAsia="en-US"/>
              </w:rPr>
              <w:t>ид и предмет существенной сделки</w:t>
            </w:r>
            <w:r w:rsidRPr="0011425D">
              <w:rPr>
                <w:szCs w:val="24"/>
              </w:rPr>
              <w:t xml:space="preserve">: </w:t>
            </w:r>
            <w:r w:rsidR="00F524FC" w:rsidRPr="0011425D">
              <w:rPr>
                <w:szCs w:val="24"/>
              </w:rPr>
              <w:t xml:space="preserve">заключение </w:t>
            </w:r>
            <w:r w:rsidR="00001D41" w:rsidRPr="0011425D">
              <w:rPr>
                <w:szCs w:val="24"/>
              </w:rPr>
              <w:t>Дополнительного соглашения к договору займа</w:t>
            </w:r>
            <w:r w:rsidRPr="0011425D">
              <w:rPr>
                <w:szCs w:val="24"/>
              </w:rPr>
              <w:t>;</w:t>
            </w:r>
          </w:p>
          <w:p w:rsidR="008D0161" w:rsidRPr="0011425D" w:rsidRDefault="009E002A" w:rsidP="00EC3DA1">
            <w:pPr>
              <w:autoSpaceDE w:val="0"/>
              <w:autoSpaceDN w:val="0"/>
              <w:adjustRightInd w:val="0"/>
              <w:jc w:val="both"/>
              <w:rPr>
                <w:szCs w:val="24"/>
              </w:rPr>
            </w:pPr>
            <w:r w:rsidRPr="0011425D">
              <w:rPr>
                <w:szCs w:val="24"/>
              </w:rPr>
              <w:t xml:space="preserve">2.4. </w:t>
            </w:r>
            <w:r w:rsidR="008D0161" w:rsidRPr="0011425D">
              <w:rPr>
                <w:szCs w:val="24"/>
              </w:rPr>
              <w:t>С</w:t>
            </w:r>
            <w:r w:rsidR="00EC3DA1" w:rsidRPr="0011425D">
              <w:rPr>
                <w:rFonts w:eastAsiaTheme="minorHAnsi"/>
                <w:szCs w:val="24"/>
                <w:lang w:eastAsia="en-US"/>
              </w:rPr>
              <w:t>одержание 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w:t>
            </w:r>
            <w:r w:rsidRPr="0011425D">
              <w:rPr>
                <w:szCs w:val="24"/>
              </w:rPr>
              <w:t xml:space="preserve">: </w:t>
            </w:r>
            <w:r w:rsidR="008D0161" w:rsidRPr="0011425D">
              <w:rPr>
                <w:szCs w:val="24"/>
              </w:rPr>
              <w:t>Дополнительным соглашением к договору займа продлен с</w:t>
            </w:r>
            <w:r w:rsidR="00947B79">
              <w:rPr>
                <w:szCs w:val="24"/>
              </w:rPr>
              <w:t>рок действия договора займа до 17</w:t>
            </w:r>
            <w:r w:rsidR="008D0161" w:rsidRPr="0011425D">
              <w:rPr>
                <w:szCs w:val="24"/>
              </w:rPr>
              <w:t>.1</w:t>
            </w:r>
            <w:r w:rsidR="00947B79">
              <w:rPr>
                <w:szCs w:val="24"/>
              </w:rPr>
              <w:t>2</w:t>
            </w:r>
            <w:r w:rsidR="008D0161" w:rsidRPr="0011425D">
              <w:rPr>
                <w:szCs w:val="24"/>
              </w:rPr>
              <w:t>.202</w:t>
            </w:r>
            <w:r w:rsidR="00947B79">
              <w:rPr>
                <w:szCs w:val="24"/>
              </w:rPr>
              <w:t>2</w:t>
            </w:r>
            <w:r w:rsidR="008D0161" w:rsidRPr="0011425D">
              <w:rPr>
                <w:szCs w:val="24"/>
              </w:rPr>
              <w:t xml:space="preserve"> г.</w:t>
            </w:r>
          </w:p>
          <w:p w:rsidR="008D0161" w:rsidRPr="00DD2608" w:rsidRDefault="00EC3DA1" w:rsidP="008D0161">
            <w:pPr>
              <w:autoSpaceDE w:val="0"/>
              <w:autoSpaceDN w:val="0"/>
              <w:adjustRightInd w:val="0"/>
              <w:jc w:val="both"/>
              <w:rPr>
                <w:rFonts w:eastAsiaTheme="minorHAnsi"/>
                <w:szCs w:val="24"/>
                <w:lang w:eastAsia="en-US"/>
              </w:rPr>
            </w:pPr>
            <w:r w:rsidRPr="0011425D">
              <w:rPr>
                <w:szCs w:val="24"/>
              </w:rPr>
              <w:t xml:space="preserve">2.5. </w:t>
            </w:r>
            <w:r w:rsidR="008D0161" w:rsidRPr="00DD2608">
              <w:rPr>
                <w:rFonts w:eastAsiaTheme="minorHAnsi"/>
                <w:szCs w:val="24"/>
                <w:lang w:eastAsia="en-US"/>
              </w:rPr>
              <w:t>С</w:t>
            </w:r>
            <w:r w:rsidRPr="0011425D">
              <w:rPr>
                <w:rFonts w:eastAsiaTheme="minorHAnsi"/>
                <w:szCs w:val="24"/>
                <w:lang w:eastAsia="en-US"/>
              </w:rPr>
              <w:t xml:space="preserve">тороны и </w:t>
            </w:r>
            <w:proofErr w:type="spellStart"/>
            <w:r w:rsidRPr="0011425D">
              <w:rPr>
                <w:rFonts w:eastAsiaTheme="minorHAnsi"/>
                <w:szCs w:val="24"/>
                <w:lang w:eastAsia="en-US"/>
              </w:rPr>
              <w:t>выгодоприобретатели</w:t>
            </w:r>
            <w:proofErr w:type="spellEnd"/>
            <w:r w:rsidRPr="0011425D">
              <w:rPr>
                <w:rFonts w:eastAsiaTheme="minorHAnsi"/>
                <w:szCs w:val="24"/>
                <w:lang w:eastAsia="en-US"/>
              </w:rPr>
              <w:t xml:space="preserve"> по существенной сделке:</w:t>
            </w:r>
            <w:r w:rsidR="008D0161" w:rsidRPr="00DD2608">
              <w:rPr>
                <w:rFonts w:eastAsiaTheme="minorHAnsi"/>
                <w:szCs w:val="24"/>
                <w:lang w:eastAsia="en-US"/>
              </w:rPr>
              <w:t xml:space="preserve"> </w:t>
            </w:r>
          </w:p>
          <w:p w:rsidR="00DD2608" w:rsidRPr="00DD2608" w:rsidRDefault="00DD2608" w:rsidP="00DD2608">
            <w:pPr>
              <w:autoSpaceDE w:val="0"/>
              <w:autoSpaceDN w:val="0"/>
              <w:adjustRightInd w:val="0"/>
              <w:jc w:val="both"/>
              <w:rPr>
                <w:rFonts w:eastAsiaTheme="minorHAnsi"/>
                <w:szCs w:val="24"/>
                <w:lang w:eastAsia="en-US"/>
              </w:rPr>
            </w:pPr>
            <w:r w:rsidRPr="00DD2608">
              <w:rPr>
                <w:rFonts w:eastAsiaTheme="minorHAnsi"/>
                <w:szCs w:val="24"/>
                <w:lang w:eastAsia="en-US"/>
              </w:rPr>
              <w:t>Акционерное общество «</w:t>
            </w:r>
            <w:proofErr w:type="spellStart"/>
            <w:r w:rsidRPr="00DD2608">
              <w:rPr>
                <w:rFonts w:eastAsiaTheme="minorHAnsi"/>
                <w:szCs w:val="24"/>
                <w:lang w:eastAsia="en-US"/>
              </w:rPr>
              <w:t>Ванинский</w:t>
            </w:r>
            <w:proofErr w:type="spellEnd"/>
            <w:r w:rsidRPr="00DD2608">
              <w:rPr>
                <w:rFonts w:eastAsiaTheme="minorHAnsi"/>
                <w:szCs w:val="24"/>
                <w:lang w:eastAsia="en-US"/>
              </w:rPr>
              <w:t xml:space="preserve"> морской торговый порт» - «Займодавец»;</w:t>
            </w:r>
          </w:p>
          <w:p w:rsidR="00EC3DA1" w:rsidRPr="0011425D" w:rsidRDefault="00DD2608" w:rsidP="00DD2608">
            <w:pPr>
              <w:autoSpaceDE w:val="0"/>
              <w:autoSpaceDN w:val="0"/>
              <w:adjustRightInd w:val="0"/>
              <w:jc w:val="both"/>
              <w:rPr>
                <w:rFonts w:eastAsiaTheme="minorHAnsi"/>
                <w:szCs w:val="24"/>
                <w:lang w:eastAsia="en-US"/>
              </w:rPr>
            </w:pPr>
            <w:r w:rsidRPr="00DD2608">
              <w:rPr>
                <w:rFonts w:eastAsiaTheme="minorHAnsi"/>
                <w:szCs w:val="24"/>
                <w:lang w:eastAsia="en-US"/>
              </w:rPr>
              <w:t>СТАТУЛА ХОЛДИНГЗ ЛИМИТЕД – «Заемщик»</w:t>
            </w:r>
            <w:r w:rsidR="008D0161" w:rsidRPr="00DD2608">
              <w:rPr>
                <w:rFonts w:eastAsiaTheme="minorHAnsi"/>
                <w:szCs w:val="24"/>
                <w:lang w:eastAsia="en-US"/>
              </w:rPr>
              <w:t>.</w:t>
            </w:r>
          </w:p>
          <w:p w:rsidR="00403C87" w:rsidRPr="0011425D" w:rsidRDefault="009E002A" w:rsidP="00EC3DA1">
            <w:pPr>
              <w:autoSpaceDE w:val="0"/>
              <w:autoSpaceDN w:val="0"/>
              <w:adjustRightInd w:val="0"/>
              <w:jc w:val="both"/>
              <w:rPr>
                <w:rFonts w:eastAsiaTheme="minorHAnsi"/>
                <w:szCs w:val="24"/>
                <w:lang w:eastAsia="en-US"/>
              </w:rPr>
            </w:pPr>
            <w:r w:rsidRPr="00DD2608">
              <w:rPr>
                <w:rFonts w:eastAsiaTheme="minorHAnsi"/>
                <w:szCs w:val="24"/>
                <w:lang w:eastAsia="en-US"/>
              </w:rPr>
              <w:t>2.</w:t>
            </w:r>
            <w:r w:rsidR="00EC3DA1" w:rsidRPr="00DD2608">
              <w:rPr>
                <w:rFonts w:eastAsiaTheme="minorHAnsi"/>
                <w:szCs w:val="24"/>
                <w:lang w:eastAsia="en-US"/>
              </w:rPr>
              <w:t>6</w:t>
            </w:r>
            <w:r w:rsidRPr="00DD2608">
              <w:rPr>
                <w:rFonts w:eastAsiaTheme="minorHAnsi"/>
                <w:szCs w:val="24"/>
                <w:lang w:eastAsia="en-US"/>
              </w:rPr>
              <w:t xml:space="preserve">. </w:t>
            </w:r>
            <w:r w:rsidR="008D0161" w:rsidRPr="00DD2608">
              <w:rPr>
                <w:rFonts w:eastAsiaTheme="minorHAnsi"/>
                <w:szCs w:val="24"/>
                <w:lang w:eastAsia="en-US"/>
              </w:rPr>
              <w:t>С</w:t>
            </w:r>
            <w:r w:rsidR="00EC3DA1" w:rsidRPr="0011425D">
              <w:rPr>
                <w:rFonts w:eastAsiaTheme="minorHAnsi"/>
                <w:szCs w:val="24"/>
                <w:lang w:eastAsia="en-US"/>
              </w:rPr>
              <w:t>рок исполнения обязательств по существенной сделке</w:t>
            </w:r>
            <w:r w:rsidRPr="0011425D">
              <w:rPr>
                <w:szCs w:val="24"/>
              </w:rPr>
              <w:t>:</w:t>
            </w:r>
            <w:r w:rsidRPr="0011425D">
              <w:rPr>
                <w:i/>
                <w:szCs w:val="24"/>
              </w:rPr>
              <w:t xml:space="preserve"> </w:t>
            </w:r>
            <w:r w:rsidR="00D83DB7">
              <w:rPr>
                <w:szCs w:val="24"/>
              </w:rPr>
              <w:t xml:space="preserve">до </w:t>
            </w:r>
            <w:r w:rsidR="00947B79">
              <w:rPr>
                <w:szCs w:val="24"/>
              </w:rPr>
              <w:t>17</w:t>
            </w:r>
            <w:r w:rsidR="00DD2608" w:rsidRPr="0011425D">
              <w:rPr>
                <w:szCs w:val="24"/>
              </w:rPr>
              <w:t>.1</w:t>
            </w:r>
            <w:r w:rsidR="00947B79">
              <w:rPr>
                <w:szCs w:val="24"/>
              </w:rPr>
              <w:t>2</w:t>
            </w:r>
            <w:r w:rsidR="00DD2608" w:rsidRPr="0011425D">
              <w:rPr>
                <w:szCs w:val="24"/>
              </w:rPr>
              <w:t>.202</w:t>
            </w:r>
            <w:r w:rsidR="00FA59D8">
              <w:rPr>
                <w:szCs w:val="24"/>
              </w:rPr>
              <w:t>2</w:t>
            </w:r>
            <w:r w:rsidR="00DD2608" w:rsidRPr="0011425D">
              <w:rPr>
                <w:szCs w:val="24"/>
              </w:rPr>
              <w:t xml:space="preserve"> </w:t>
            </w:r>
            <w:r w:rsidR="00D83DB7">
              <w:rPr>
                <w:szCs w:val="24"/>
              </w:rPr>
              <w:t>г</w:t>
            </w:r>
            <w:r w:rsidR="007756BC" w:rsidRPr="0011425D">
              <w:rPr>
                <w:szCs w:val="24"/>
              </w:rPr>
              <w:t>.</w:t>
            </w:r>
            <w:r w:rsidRPr="0011425D">
              <w:rPr>
                <w:szCs w:val="24"/>
              </w:rPr>
              <w:t xml:space="preserve"> </w:t>
            </w:r>
          </w:p>
          <w:p w:rsidR="00A4723C" w:rsidRPr="0011425D" w:rsidRDefault="00EC3DA1" w:rsidP="0011425D">
            <w:pPr>
              <w:autoSpaceDE w:val="0"/>
              <w:autoSpaceDN w:val="0"/>
              <w:adjustRightInd w:val="0"/>
              <w:jc w:val="both"/>
              <w:rPr>
                <w:rFonts w:eastAsiaTheme="minorHAnsi"/>
                <w:szCs w:val="24"/>
                <w:lang w:eastAsia="en-US"/>
              </w:rPr>
            </w:pPr>
            <w:r w:rsidRPr="0011425D">
              <w:rPr>
                <w:szCs w:val="24"/>
              </w:rPr>
              <w:t xml:space="preserve">2.7. </w:t>
            </w:r>
            <w:r w:rsidR="008D0161" w:rsidRPr="0011425D">
              <w:rPr>
                <w:rFonts w:eastAsiaTheme="minorHAnsi"/>
                <w:szCs w:val="24"/>
                <w:lang w:eastAsia="en-US"/>
              </w:rPr>
              <w:t>Р</w:t>
            </w:r>
            <w:r w:rsidRPr="0011425D">
              <w:rPr>
                <w:rFonts w:eastAsiaTheme="minorHAnsi"/>
                <w:szCs w:val="24"/>
                <w:lang w:eastAsia="en-US"/>
              </w:rPr>
              <w:t>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r w:rsidR="00403C87" w:rsidRPr="0011425D">
              <w:rPr>
                <w:szCs w:val="24"/>
              </w:rPr>
              <w:t>:</w:t>
            </w:r>
            <w:r w:rsidR="009E002A" w:rsidRPr="0011425D">
              <w:rPr>
                <w:szCs w:val="24"/>
              </w:rPr>
              <w:t xml:space="preserve"> </w:t>
            </w:r>
            <w:r w:rsidR="00FA59D8" w:rsidRPr="00FA59D8">
              <w:rPr>
                <w:b/>
                <w:i/>
                <w:szCs w:val="24"/>
              </w:rPr>
              <w:t>9 495 740 684,31</w:t>
            </w:r>
            <w:r w:rsidR="00DD2608" w:rsidRPr="00FA59D8" w:rsidDel="00203FBF">
              <w:rPr>
                <w:sz w:val="26"/>
                <w:szCs w:val="26"/>
              </w:rPr>
              <w:t xml:space="preserve"> </w:t>
            </w:r>
            <w:r w:rsidR="009E002A" w:rsidRPr="00FA59D8">
              <w:rPr>
                <w:b/>
                <w:i/>
                <w:szCs w:val="24"/>
              </w:rPr>
              <w:t>рубл</w:t>
            </w:r>
            <w:r w:rsidR="007756BC" w:rsidRPr="00FA59D8">
              <w:rPr>
                <w:b/>
                <w:i/>
                <w:szCs w:val="24"/>
              </w:rPr>
              <w:t>ей</w:t>
            </w:r>
            <w:r w:rsidR="009E002A" w:rsidRPr="00FA59D8">
              <w:rPr>
                <w:szCs w:val="24"/>
              </w:rPr>
              <w:t xml:space="preserve"> или </w:t>
            </w:r>
            <w:r w:rsidR="00FA59D8" w:rsidRPr="00FA59D8">
              <w:rPr>
                <w:b/>
                <w:i/>
                <w:szCs w:val="24"/>
              </w:rPr>
              <w:t>30</w:t>
            </w:r>
            <w:r w:rsidR="007756BC" w:rsidRPr="00FA59D8">
              <w:rPr>
                <w:b/>
                <w:i/>
                <w:szCs w:val="24"/>
              </w:rPr>
              <w:t>,</w:t>
            </w:r>
            <w:r w:rsidR="00FA59D8" w:rsidRPr="00FA59D8">
              <w:rPr>
                <w:b/>
                <w:i/>
                <w:szCs w:val="24"/>
              </w:rPr>
              <w:t>04</w:t>
            </w:r>
            <w:r w:rsidR="00223AAC" w:rsidRPr="00FA59D8">
              <w:rPr>
                <w:b/>
                <w:i/>
                <w:szCs w:val="24"/>
              </w:rPr>
              <w:t xml:space="preserve"> %</w:t>
            </w:r>
            <w:r w:rsidR="00223AAC" w:rsidRPr="0011425D">
              <w:rPr>
                <w:szCs w:val="24"/>
              </w:rPr>
              <w:t xml:space="preserve"> </w:t>
            </w:r>
            <w:r w:rsidR="009E002A" w:rsidRPr="0011425D">
              <w:rPr>
                <w:szCs w:val="24"/>
              </w:rPr>
              <w:t>стоимости активов эмитента;</w:t>
            </w:r>
          </w:p>
          <w:p w:rsidR="00EC3DA1" w:rsidRPr="0011425D" w:rsidRDefault="00EC3DA1" w:rsidP="00EC3DA1">
            <w:pPr>
              <w:autoSpaceDE w:val="0"/>
              <w:autoSpaceDN w:val="0"/>
              <w:adjustRightInd w:val="0"/>
              <w:rPr>
                <w:szCs w:val="24"/>
              </w:rPr>
            </w:pPr>
            <w:r w:rsidRPr="0011425D">
              <w:rPr>
                <w:rStyle w:val="Subst"/>
                <w:b w:val="0"/>
                <w:bCs/>
                <w:i w:val="0"/>
                <w:iCs/>
                <w:szCs w:val="24"/>
              </w:rPr>
              <w:t>2.8</w:t>
            </w:r>
            <w:r w:rsidR="009E002A" w:rsidRPr="0011425D">
              <w:rPr>
                <w:rStyle w:val="Subst"/>
                <w:b w:val="0"/>
                <w:bCs/>
                <w:i w:val="0"/>
                <w:iCs/>
                <w:szCs w:val="24"/>
              </w:rPr>
              <w:t>.</w:t>
            </w:r>
            <w:r w:rsidR="00223AAC" w:rsidRPr="0011425D">
              <w:rPr>
                <w:szCs w:val="24"/>
              </w:rPr>
              <w:t xml:space="preserve"> </w:t>
            </w:r>
            <w:proofErr w:type="gramStart"/>
            <w:r w:rsidR="008D0161" w:rsidRPr="0011425D">
              <w:rPr>
                <w:rFonts w:eastAsiaTheme="minorHAnsi"/>
                <w:szCs w:val="24"/>
                <w:lang w:eastAsia="en-US"/>
              </w:rPr>
              <w:t>С</w:t>
            </w:r>
            <w:r w:rsidRPr="0011425D">
              <w:rPr>
                <w:rFonts w:eastAsiaTheme="minorHAnsi"/>
                <w:szCs w:val="24"/>
                <w:lang w:eastAsia="en-US"/>
              </w:rPr>
              <w:t xml:space="preserve">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w:t>
            </w:r>
            <w:r w:rsidRPr="0011425D">
              <w:rPr>
                <w:rFonts w:eastAsiaTheme="minorHAnsi"/>
                <w:szCs w:val="24"/>
                <w:lang w:eastAsia="en-US"/>
              </w:rPr>
              <w:lastRenderedPageBreak/>
              <w:t>предшествующего дате совершения сделки)</w:t>
            </w:r>
            <w:r w:rsidR="009E002A" w:rsidRPr="0011425D">
              <w:rPr>
                <w:szCs w:val="24"/>
              </w:rPr>
              <w:t xml:space="preserve">: </w:t>
            </w:r>
            <w:r w:rsidR="00955355" w:rsidRPr="0011425D">
              <w:rPr>
                <w:rFonts w:eastAsiaTheme="minorHAnsi"/>
                <w:b/>
                <w:i/>
                <w:szCs w:val="24"/>
                <w:lang w:eastAsia="en-US"/>
              </w:rPr>
              <w:t>3</w:t>
            </w:r>
            <w:r w:rsidR="008D0161" w:rsidRPr="0011425D">
              <w:rPr>
                <w:rFonts w:eastAsiaTheme="minorHAnsi"/>
                <w:b/>
                <w:i/>
                <w:szCs w:val="24"/>
                <w:lang w:eastAsia="en-US"/>
              </w:rPr>
              <w:t>1 506</w:t>
            </w:r>
            <w:r w:rsidR="00955355" w:rsidRPr="0011425D">
              <w:rPr>
                <w:rFonts w:eastAsiaTheme="minorHAnsi"/>
                <w:b/>
                <w:i/>
                <w:szCs w:val="24"/>
                <w:lang w:eastAsia="en-US"/>
              </w:rPr>
              <w:t xml:space="preserve"> </w:t>
            </w:r>
            <w:r w:rsidR="008D0161" w:rsidRPr="0011425D">
              <w:rPr>
                <w:rFonts w:eastAsiaTheme="minorHAnsi"/>
                <w:b/>
                <w:i/>
                <w:szCs w:val="24"/>
                <w:lang w:eastAsia="en-US"/>
              </w:rPr>
              <w:t>100</w:t>
            </w:r>
            <w:r w:rsidR="00955355" w:rsidRPr="0011425D">
              <w:rPr>
                <w:b/>
                <w:i/>
                <w:szCs w:val="24"/>
              </w:rPr>
              <w:t> </w:t>
            </w:r>
            <w:r w:rsidR="009E002A" w:rsidRPr="0011425D">
              <w:rPr>
                <w:b/>
                <w:i/>
                <w:szCs w:val="24"/>
              </w:rPr>
              <w:t>000</w:t>
            </w:r>
            <w:r w:rsidR="009E002A" w:rsidRPr="0011425D">
              <w:rPr>
                <w:szCs w:val="24"/>
              </w:rPr>
              <w:t xml:space="preserve"> </w:t>
            </w:r>
            <w:r w:rsidR="009E002A" w:rsidRPr="0011425D">
              <w:rPr>
                <w:b/>
                <w:szCs w:val="24"/>
              </w:rPr>
              <w:t>рублей</w:t>
            </w:r>
            <w:r w:rsidR="0011425D" w:rsidRPr="0011425D">
              <w:rPr>
                <w:szCs w:val="24"/>
              </w:rPr>
              <w:t>;</w:t>
            </w:r>
            <w:proofErr w:type="gramEnd"/>
          </w:p>
          <w:p w:rsidR="00EC3DA1" w:rsidRPr="0011425D" w:rsidRDefault="00AB567E" w:rsidP="00EC3DA1">
            <w:pPr>
              <w:autoSpaceDE w:val="0"/>
              <w:autoSpaceDN w:val="0"/>
              <w:adjustRightInd w:val="0"/>
              <w:rPr>
                <w:szCs w:val="24"/>
              </w:rPr>
            </w:pPr>
            <w:r w:rsidRPr="0011425D">
              <w:rPr>
                <w:szCs w:val="24"/>
              </w:rPr>
              <w:t>2.</w:t>
            </w:r>
            <w:r w:rsidR="00EC3DA1" w:rsidRPr="0011425D">
              <w:rPr>
                <w:szCs w:val="24"/>
              </w:rPr>
              <w:t>9</w:t>
            </w:r>
            <w:r w:rsidRPr="0011425D">
              <w:rPr>
                <w:szCs w:val="24"/>
              </w:rPr>
              <w:t xml:space="preserve">. </w:t>
            </w:r>
            <w:r w:rsidR="009E002A" w:rsidRPr="0011425D">
              <w:rPr>
                <w:szCs w:val="24"/>
              </w:rPr>
              <w:t xml:space="preserve">Дата </w:t>
            </w:r>
            <w:r w:rsidR="009E002A" w:rsidRPr="0011425D">
              <w:rPr>
                <w:rStyle w:val="hl"/>
                <w:szCs w:val="24"/>
              </w:rPr>
              <w:t>совершения</w:t>
            </w:r>
            <w:r w:rsidR="009E002A" w:rsidRPr="0011425D">
              <w:rPr>
                <w:szCs w:val="24"/>
              </w:rPr>
              <w:t xml:space="preserve"> </w:t>
            </w:r>
            <w:r w:rsidR="009E002A" w:rsidRPr="0011425D">
              <w:rPr>
                <w:rStyle w:val="hl"/>
                <w:szCs w:val="24"/>
              </w:rPr>
              <w:t>сделки</w:t>
            </w:r>
            <w:r w:rsidR="00223AAC" w:rsidRPr="0011425D">
              <w:rPr>
                <w:szCs w:val="24"/>
              </w:rPr>
              <w:t xml:space="preserve">: </w:t>
            </w:r>
            <w:r w:rsidR="00DD2608">
              <w:rPr>
                <w:szCs w:val="24"/>
              </w:rPr>
              <w:t>17</w:t>
            </w:r>
            <w:r w:rsidR="00F03B96" w:rsidRPr="0011425D">
              <w:rPr>
                <w:szCs w:val="24"/>
              </w:rPr>
              <w:t>.</w:t>
            </w:r>
            <w:r w:rsidR="0011425D" w:rsidRPr="0011425D">
              <w:rPr>
                <w:szCs w:val="24"/>
              </w:rPr>
              <w:t>1</w:t>
            </w:r>
            <w:r w:rsidR="00F03B96" w:rsidRPr="0011425D">
              <w:rPr>
                <w:szCs w:val="24"/>
              </w:rPr>
              <w:t>2.2021</w:t>
            </w:r>
            <w:r w:rsidR="00D83DB7">
              <w:rPr>
                <w:szCs w:val="24"/>
              </w:rPr>
              <w:t>г.</w:t>
            </w:r>
            <w:r w:rsidR="00223AAC" w:rsidRPr="0011425D">
              <w:rPr>
                <w:szCs w:val="24"/>
              </w:rPr>
              <w:t>;</w:t>
            </w:r>
          </w:p>
          <w:p w:rsidR="00056347" w:rsidRPr="0011425D" w:rsidRDefault="009E002A" w:rsidP="0011425D">
            <w:pPr>
              <w:autoSpaceDE w:val="0"/>
              <w:autoSpaceDN w:val="0"/>
              <w:adjustRightInd w:val="0"/>
              <w:jc w:val="both"/>
              <w:rPr>
                <w:i/>
                <w:szCs w:val="24"/>
              </w:rPr>
            </w:pPr>
            <w:proofErr w:type="gramStart"/>
            <w:r w:rsidRPr="0011425D">
              <w:rPr>
                <w:szCs w:val="24"/>
              </w:rPr>
              <w:t>2.</w:t>
            </w:r>
            <w:r w:rsidR="00EC3DA1" w:rsidRPr="0011425D">
              <w:rPr>
                <w:szCs w:val="24"/>
              </w:rPr>
              <w:t>10</w:t>
            </w:r>
            <w:r w:rsidRPr="0011425D">
              <w:rPr>
                <w:szCs w:val="24"/>
              </w:rPr>
              <w:t xml:space="preserve">. </w:t>
            </w:r>
            <w:r w:rsidR="00001D41" w:rsidRPr="0011425D">
              <w:rPr>
                <w:rFonts w:eastAsiaTheme="minorHAnsi"/>
                <w:szCs w:val="24"/>
                <w:lang w:eastAsia="en-US"/>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w:t>
            </w:r>
            <w:proofErr w:type="gramEnd"/>
            <w:r w:rsidR="00001D41" w:rsidRPr="0011425D">
              <w:rPr>
                <w:rFonts w:eastAsiaTheme="minorHAnsi"/>
                <w:szCs w:val="24"/>
                <w:lang w:eastAsia="en-US"/>
              </w:rPr>
              <w:t xml:space="preserve"> (</w:t>
            </w:r>
            <w:proofErr w:type="gramStart"/>
            <w:r w:rsidR="00001D41" w:rsidRPr="0011425D">
              <w:rPr>
                <w:rFonts w:eastAsiaTheme="minorHAnsi"/>
                <w:szCs w:val="24"/>
                <w:lang w:eastAsia="en-US"/>
              </w:rPr>
              <w:t>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11425D">
              <w:rPr>
                <w:szCs w:val="24"/>
              </w:rPr>
              <w:t>:</w:t>
            </w:r>
            <w:r w:rsidRPr="0011425D">
              <w:rPr>
                <w:i/>
                <w:szCs w:val="24"/>
              </w:rPr>
              <w:t xml:space="preserve"> </w:t>
            </w:r>
            <w:proofErr w:type="gramEnd"/>
          </w:p>
          <w:p w:rsidR="00056347" w:rsidRPr="0011425D" w:rsidRDefault="00DD2608" w:rsidP="0011425D">
            <w:pPr>
              <w:tabs>
                <w:tab w:val="left" w:pos="113"/>
              </w:tabs>
              <w:autoSpaceDE w:val="0"/>
              <w:autoSpaceDN w:val="0"/>
              <w:adjustRightInd w:val="0"/>
              <w:ind w:right="141"/>
              <w:jc w:val="both"/>
              <w:rPr>
                <w:szCs w:val="24"/>
              </w:rPr>
            </w:pPr>
            <w:r w:rsidRPr="0011425D">
              <w:rPr>
                <w:rFonts w:eastAsiaTheme="minorHAnsi"/>
                <w:szCs w:val="24"/>
                <w:lang w:eastAsia="en-US"/>
              </w:rPr>
              <w:t>решение о согласии на совершение или о последующем одобрении существенной сделки не принималось уполномоченным органом управления эмитента</w:t>
            </w:r>
            <w:r w:rsidR="00FA59D8">
              <w:rPr>
                <w:szCs w:val="24"/>
              </w:rPr>
              <w:t>.</w:t>
            </w:r>
          </w:p>
          <w:p w:rsidR="009E002A" w:rsidRPr="0011425D" w:rsidRDefault="009E002A" w:rsidP="0011425D">
            <w:pPr>
              <w:tabs>
                <w:tab w:val="left" w:pos="681"/>
              </w:tabs>
              <w:autoSpaceDE w:val="0"/>
              <w:autoSpaceDN w:val="0"/>
              <w:adjustRightInd w:val="0"/>
              <w:ind w:right="141"/>
              <w:jc w:val="both"/>
              <w:rPr>
                <w:szCs w:val="24"/>
              </w:rPr>
            </w:pPr>
          </w:p>
        </w:tc>
      </w:tr>
    </w:tbl>
    <w:p w:rsidR="009E002A" w:rsidRPr="0011425D" w:rsidRDefault="009E002A" w:rsidP="009E002A">
      <w:pPr>
        <w:rPr>
          <w:szCs w:val="24"/>
        </w:rPr>
      </w:pPr>
    </w:p>
    <w:tbl>
      <w:tblPr>
        <w:tblW w:w="9781" w:type="dxa"/>
        <w:tblInd w:w="-539" w:type="dxa"/>
        <w:tblLayout w:type="fixed"/>
        <w:tblCellMar>
          <w:left w:w="28" w:type="dxa"/>
          <w:right w:w="28" w:type="dxa"/>
        </w:tblCellMar>
        <w:tblLook w:val="04A0"/>
      </w:tblPr>
      <w:tblGrid>
        <w:gridCol w:w="1076"/>
        <w:gridCol w:w="198"/>
        <w:gridCol w:w="454"/>
        <w:gridCol w:w="198"/>
        <w:gridCol w:w="1473"/>
        <w:gridCol w:w="397"/>
        <w:gridCol w:w="369"/>
        <w:gridCol w:w="539"/>
        <w:gridCol w:w="1700"/>
        <w:gridCol w:w="906"/>
        <w:gridCol w:w="2329"/>
        <w:gridCol w:w="142"/>
      </w:tblGrid>
      <w:tr w:rsidR="009E002A" w:rsidRPr="0011425D" w:rsidTr="00223AAC">
        <w:tc>
          <w:tcPr>
            <w:tcW w:w="9781" w:type="dxa"/>
            <w:gridSpan w:val="12"/>
            <w:tcBorders>
              <w:top w:val="single" w:sz="4" w:space="0" w:color="auto"/>
              <w:left w:val="single" w:sz="4" w:space="0" w:color="auto"/>
              <w:bottom w:val="single" w:sz="4" w:space="0" w:color="auto"/>
              <w:right w:val="single" w:sz="4" w:space="0" w:color="auto"/>
            </w:tcBorders>
            <w:hideMark/>
          </w:tcPr>
          <w:p w:rsidR="009E002A" w:rsidRPr="0011425D" w:rsidRDefault="009E002A">
            <w:pPr>
              <w:jc w:val="center"/>
              <w:rPr>
                <w:szCs w:val="24"/>
              </w:rPr>
            </w:pPr>
            <w:r w:rsidRPr="0011425D">
              <w:rPr>
                <w:szCs w:val="24"/>
              </w:rPr>
              <w:t>3. Подпись</w:t>
            </w:r>
          </w:p>
        </w:tc>
      </w:tr>
      <w:tr w:rsidR="009E002A" w:rsidRPr="0011425D" w:rsidTr="00223AAC">
        <w:tc>
          <w:tcPr>
            <w:tcW w:w="4704" w:type="dxa"/>
            <w:gridSpan w:val="8"/>
            <w:tcBorders>
              <w:top w:val="single" w:sz="4" w:space="0" w:color="auto"/>
              <w:left w:val="single" w:sz="4" w:space="0" w:color="auto"/>
              <w:bottom w:val="nil"/>
              <w:right w:val="nil"/>
            </w:tcBorders>
            <w:vAlign w:val="bottom"/>
            <w:hideMark/>
          </w:tcPr>
          <w:p w:rsidR="009E002A" w:rsidRPr="0011425D" w:rsidRDefault="009E002A">
            <w:pPr>
              <w:ind w:left="57"/>
              <w:rPr>
                <w:szCs w:val="24"/>
              </w:rPr>
            </w:pPr>
            <w:r w:rsidRPr="0011425D">
              <w:rPr>
                <w:szCs w:val="24"/>
              </w:rPr>
              <w:t>3.1. Генеральный директор</w:t>
            </w:r>
          </w:p>
        </w:tc>
        <w:tc>
          <w:tcPr>
            <w:tcW w:w="1700" w:type="dxa"/>
            <w:tcBorders>
              <w:top w:val="nil"/>
              <w:left w:val="nil"/>
              <w:bottom w:val="single" w:sz="4" w:space="0" w:color="auto"/>
              <w:right w:val="nil"/>
            </w:tcBorders>
            <w:vAlign w:val="bottom"/>
          </w:tcPr>
          <w:p w:rsidR="009E002A" w:rsidRPr="0011425D" w:rsidRDefault="009E002A">
            <w:pPr>
              <w:jc w:val="center"/>
              <w:rPr>
                <w:szCs w:val="24"/>
              </w:rPr>
            </w:pPr>
          </w:p>
        </w:tc>
        <w:tc>
          <w:tcPr>
            <w:tcW w:w="906" w:type="dxa"/>
            <w:vAlign w:val="bottom"/>
          </w:tcPr>
          <w:p w:rsidR="009E002A" w:rsidRPr="0011425D" w:rsidRDefault="009E002A">
            <w:pPr>
              <w:rPr>
                <w:szCs w:val="24"/>
              </w:rPr>
            </w:pPr>
          </w:p>
        </w:tc>
        <w:tc>
          <w:tcPr>
            <w:tcW w:w="2329" w:type="dxa"/>
            <w:vAlign w:val="bottom"/>
          </w:tcPr>
          <w:p w:rsidR="009E002A" w:rsidRPr="0011425D" w:rsidRDefault="009E002A">
            <w:pPr>
              <w:jc w:val="center"/>
              <w:rPr>
                <w:szCs w:val="24"/>
              </w:rPr>
            </w:pPr>
          </w:p>
          <w:p w:rsidR="009E002A" w:rsidRPr="0011425D" w:rsidRDefault="0011425D">
            <w:pPr>
              <w:jc w:val="center"/>
              <w:rPr>
                <w:szCs w:val="24"/>
              </w:rPr>
            </w:pPr>
            <w:r w:rsidRPr="0011425D">
              <w:rPr>
                <w:szCs w:val="24"/>
              </w:rPr>
              <w:t>В.Н. Рогов</w:t>
            </w:r>
          </w:p>
        </w:tc>
        <w:tc>
          <w:tcPr>
            <w:tcW w:w="142" w:type="dxa"/>
            <w:tcBorders>
              <w:top w:val="single" w:sz="4" w:space="0" w:color="auto"/>
              <w:left w:val="nil"/>
              <w:bottom w:val="nil"/>
              <w:right w:val="single" w:sz="4" w:space="0" w:color="auto"/>
            </w:tcBorders>
            <w:vAlign w:val="bottom"/>
          </w:tcPr>
          <w:p w:rsidR="009E002A" w:rsidRPr="0011425D" w:rsidRDefault="009E002A">
            <w:pPr>
              <w:rPr>
                <w:szCs w:val="24"/>
              </w:rPr>
            </w:pPr>
          </w:p>
        </w:tc>
      </w:tr>
      <w:tr w:rsidR="009E002A" w:rsidRPr="0011425D" w:rsidTr="00223AAC">
        <w:tc>
          <w:tcPr>
            <w:tcW w:w="4704" w:type="dxa"/>
            <w:gridSpan w:val="8"/>
            <w:tcBorders>
              <w:top w:val="nil"/>
              <w:left w:val="single" w:sz="4" w:space="0" w:color="auto"/>
              <w:bottom w:val="nil"/>
              <w:right w:val="nil"/>
            </w:tcBorders>
            <w:hideMark/>
          </w:tcPr>
          <w:p w:rsidR="009E002A" w:rsidRPr="0011425D" w:rsidRDefault="009E002A">
            <w:pPr>
              <w:ind w:left="57"/>
              <w:rPr>
                <w:szCs w:val="24"/>
              </w:rPr>
            </w:pPr>
            <w:r w:rsidRPr="0011425D">
              <w:rPr>
                <w:szCs w:val="24"/>
              </w:rPr>
              <w:t xml:space="preserve">АО "Порт Ванино"                                           </w:t>
            </w:r>
          </w:p>
        </w:tc>
        <w:tc>
          <w:tcPr>
            <w:tcW w:w="1700" w:type="dxa"/>
            <w:hideMark/>
          </w:tcPr>
          <w:p w:rsidR="009E002A" w:rsidRPr="0011425D" w:rsidRDefault="009E002A">
            <w:pPr>
              <w:jc w:val="center"/>
              <w:rPr>
                <w:szCs w:val="24"/>
              </w:rPr>
            </w:pPr>
            <w:r w:rsidRPr="0011425D">
              <w:rPr>
                <w:szCs w:val="24"/>
              </w:rPr>
              <w:t>(подпись)</w:t>
            </w:r>
          </w:p>
        </w:tc>
        <w:tc>
          <w:tcPr>
            <w:tcW w:w="906" w:type="dxa"/>
          </w:tcPr>
          <w:p w:rsidR="009E002A" w:rsidRPr="0011425D" w:rsidRDefault="009E002A">
            <w:pPr>
              <w:rPr>
                <w:szCs w:val="24"/>
              </w:rPr>
            </w:pPr>
          </w:p>
        </w:tc>
        <w:tc>
          <w:tcPr>
            <w:tcW w:w="2329" w:type="dxa"/>
          </w:tcPr>
          <w:p w:rsidR="009E002A" w:rsidRPr="0011425D" w:rsidRDefault="009E002A">
            <w:pPr>
              <w:jc w:val="center"/>
              <w:rPr>
                <w:szCs w:val="24"/>
              </w:rPr>
            </w:pPr>
          </w:p>
        </w:tc>
        <w:tc>
          <w:tcPr>
            <w:tcW w:w="142" w:type="dxa"/>
            <w:tcBorders>
              <w:top w:val="nil"/>
              <w:left w:val="nil"/>
              <w:bottom w:val="nil"/>
              <w:right w:val="single" w:sz="4" w:space="0" w:color="auto"/>
            </w:tcBorders>
          </w:tcPr>
          <w:p w:rsidR="009E002A" w:rsidRPr="0011425D" w:rsidRDefault="009E002A">
            <w:pPr>
              <w:rPr>
                <w:szCs w:val="24"/>
              </w:rPr>
            </w:pPr>
          </w:p>
        </w:tc>
      </w:tr>
      <w:tr w:rsidR="009E002A" w:rsidRPr="0011425D" w:rsidTr="00223AAC">
        <w:tc>
          <w:tcPr>
            <w:tcW w:w="1076" w:type="dxa"/>
            <w:tcBorders>
              <w:top w:val="nil"/>
              <w:left w:val="single" w:sz="4" w:space="0" w:color="auto"/>
              <w:bottom w:val="nil"/>
              <w:right w:val="nil"/>
            </w:tcBorders>
            <w:vAlign w:val="bottom"/>
            <w:hideMark/>
          </w:tcPr>
          <w:p w:rsidR="009E002A" w:rsidRPr="0011425D" w:rsidRDefault="009E002A">
            <w:pPr>
              <w:spacing w:before="240"/>
              <w:ind w:left="57"/>
              <w:rPr>
                <w:szCs w:val="24"/>
              </w:rPr>
            </w:pPr>
            <w:r w:rsidRPr="0011425D">
              <w:rPr>
                <w:szCs w:val="24"/>
              </w:rPr>
              <w:t>3.2. Дата</w:t>
            </w:r>
          </w:p>
        </w:tc>
        <w:tc>
          <w:tcPr>
            <w:tcW w:w="198" w:type="dxa"/>
            <w:vAlign w:val="bottom"/>
            <w:hideMark/>
          </w:tcPr>
          <w:p w:rsidR="009E002A" w:rsidRPr="0011425D" w:rsidRDefault="009E002A">
            <w:pPr>
              <w:jc w:val="right"/>
              <w:rPr>
                <w:szCs w:val="24"/>
              </w:rPr>
            </w:pPr>
            <w:r w:rsidRPr="0011425D">
              <w:rPr>
                <w:szCs w:val="24"/>
              </w:rPr>
              <w:t>“</w:t>
            </w:r>
          </w:p>
        </w:tc>
        <w:tc>
          <w:tcPr>
            <w:tcW w:w="454" w:type="dxa"/>
            <w:tcBorders>
              <w:top w:val="nil"/>
              <w:left w:val="nil"/>
              <w:bottom w:val="single" w:sz="4" w:space="0" w:color="auto"/>
              <w:right w:val="nil"/>
            </w:tcBorders>
            <w:vAlign w:val="bottom"/>
            <w:hideMark/>
          </w:tcPr>
          <w:p w:rsidR="009E002A" w:rsidRPr="0011425D" w:rsidRDefault="00DD2608">
            <w:pPr>
              <w:jc w:val="center"/>
              <w:rPr>
                <w:szCs w:val="24"/>
              </w:rPr>
            </w:pPr>
            <w:r>
              <w:rPr>
                <w:szCs w:val="24"/>
              </w:rPr>
              <w:t>17</w:t>
            </w:r>
          </w:p>
        </w:tc>
        <w:tc>
          <w:tcPr>
            <w:tcW w:w="198" w:type="dxa"/>
            <w:vAlign w:val="bottom"/>
            <w:hideMark/>
          </w:tcPr>
          <w:p w:rsidR="009E002A" w:rsidRPr="0011425D" w:rsidRDefault="009E002A">
            <w:pPr>
              <w:rPr>
                <w:szCs w:val="24"/>
              </w:rPr>
            </w:pPr>
            <w:r w:rsidRPr="0011425D">
              <w:rPr>
                <w:szCs w:val="24"/>
              </w:rPr>
              <w:t>”</w:t>
            </w:r>
          </w:p>
        </w:tc>
        <w:tc>
          <w:tcPr>
            <w:tcW w:w="1473" w:type="dxa"/>
            <w:tcBorders>
              <w:top w:val="nil"/>
              <w:left w:val="nil"/>
              <w:bottom w:val="single" w:sz="4" w:space="0" w:color="auto"/>
              <w:right w:val="nil"/>
            </w:tcBorders>
            <w:vAlign w:val="bottom"/>
            <w:hideMark/>
          </w:tcPr>
          <w:p w:rsidR="009E002A" w:rsidRPr="0011425D" w:rsidRDefault="0011425D" w:rsidP="007756BC">
            <w:pPr>
              <w:jc w:val="center"/>
              <w:rPr>
                <w:szCs w:val="24"/>
              </w:rPr>
            </w:pPr>
            <w:r w:rsidRPr="0011425D">
              <w:rPr>
                <w:szCs w:val="24"/>
              </w:rPr>
              <w:t>декабря</w:t>
            </w:r>
          </w:p>
        </w:tc>
        <w:tc>
          <w:tcPr>
            <w:tcW w:w="397" w:type="dxa"/>
            <w:vAlign w:val="bottom"/>
            <w:hideMark/>
          </w:tcPr>
          <w:p w:rsidR="009E002A" w:rsidRPr="0011425D" w:rsidRDefault="009E002A">
            <w:pPr>
              <w:jc w:val="right"/>
              <w:rPr>
                <w:szCs w:val="24"/>
              </w:rPr>
            </w:pPr>
            <w:r w:rsidRPr="0011425D">
              <w:rPr>
                <w:szCs w:val="24"/>
              </w:rPr>
              <w:t>20</w:t>
            </w:r>
          </w:p>
        </w:tc>
        <w:tc>
          <w:tcPr>
            <w:tcW w:w="369" w:type="dxa"/>
            <w:tcBorders>
              <w:top w:val="nil"/>
              <w:left w:val="nil"/>
              <w:bottom w:val="single" w:sz="4" w:space="0" w:color="auto"/>
              <w:right w:val="nil"/>
            </w:tcBorders>
            <w:vAlign w:val="bottom"/>
            <w:hideMark/>
          </w:tcPr>
          <w:p w:rsidR="009E002A" w:rsidRPr="0011425D" w:rsidRDefault="00223AAC" w:rsidP="007756BC">
            <w:pPr>
              <w:rPr>
                <w:szCs w:val="24"/>
              </w:rPr>
            </w:pPr>
            <w:r w:rsidRPr="0011425D">
              <w:rPr>
                <w:szCs w:val="24"/>
              </w:rPr>
              <w:t>2</w:t>
            </w:r>
            <w:r w:rsidR="007756BC" w:rsidRPr="0011425D">
              <w:rPr>
                <w:szCs w:val="24"/>
              </w:rPr>
              <w:t>1</w:t>
            </w:r>
          </w:p>
        </w:tc>
        <w:tc>
          <w:tcPr>
            <w:tcW w:w="539" w:type="dxa"/>
            <w:vAlign w:val="bottom"/>
            <w:hideMark/>
          </w:tcPr>
          <w:p w:rsidR="009E002A" w:rsidRPr="0011425D" w:rsidRDefault="009E002A">
            <w:pPr>
              <w:ind w:left="57"/>
              <w:rPr>
                <w:szCs w:val="24"/>
              </w:rPr>
            </w:pPr>
            <w:proofErr w:type="gramStart"/>
            <w:r w:rsidRPr="0011425D">
              <w:rPr>
                <w:szCs w:val="24"/>
              </w:rPr>
              <w:t>г</w:t>
            </w:r>
            <w:proofErr w:type="gramEnd"/>
            <w:r w:rsidRPr="0011425D">
              <w:rPr>
                <w:szCs w:val="24"/>
              </w:rPr>
              <w:t>.</w:t>
            </w:r>
          </w:p>
        </w:tc>
        <w:tc>
          <w:tcPr>
            <w:tcW w:w="1700" w:type="dxa"/>
            <w:vAlign w:val="bottom"/>
            <w:hideMark/>
          </w:tcPr>
          <w:p w:rsidR="009E002A" w:rsidRPr="0011425D" w:rsidRDefault="009E002A">
            <w:pPr>
              <w:jc w:val="center"/>
              <w:rPr>
                <w:szCs w:val="24"/>
              </w:rPr>
            </w:pPr>
            <w:r w:rsidRPr="0011425D">
              <w:rPr>
                <w:szCs w:val="24"/>
              </w:rPr>
              <w:t>М.П.</w:t>
            </w:r>
          </w:p>
        </w:tc>
        <w:tc>
          <w:tcPr>
            <w:tcW w:w="3377" w:type="dxa"/>
            <w:gridSpan w:val="3"/>
            <w:tcBorders>
              <w:top w:val="nil"/>
              <w:left w:val="nil"/>
              <w:bottom w:val="nil"/>
              <w:right w:val="single" w:sz="4" w:space="0" w:color="auto"/>
            </w:tcBorders>
            <w:vAlign w:val="bottom"/>
          </w:tcPr>
          <w:p w:rsidR="009E002A" w:rsidRPr="0011425D" w:rsidRDefault="009E002A">
            <w:pPr>
              <w:rPr>
                <w:szCs w:val="24"/>
              </w:rPr>
            </w:pPr>
          </w:p>
        </w:tc>
      </w:tr>
      <w:tr w:rsidR="009E002A" w:rsidRPr="0011425D" w:rsidTr="00223AAC">
        <w:tc>
          <w:tcPr>
            <w:tcW w:w="9781" w:type="dxa"/>
            <w:gridSpan w:val="12"/>
            <w:tcBorders>
              <w:top w:val="nil"/>
              <w:left w:val="single" w:sz="4" w:space="0" w:color="auto"/>
              <w:bottom w:val="single" w:sz="4" w:space="0" w:color="auto"/>
              <w:right w:val="single" w:sz="4" w:space="0" w:color="auto"/>
            </w:tcBorders>
          </w:tcPr>
          <w:p w:rsidR="009E002A" w:rsidRPr="0011425D" w:rsidRDefault="009E002A"/>
        </w:tc>
      </w:tr>
    </w:tbl>
    <w:p w:rsidR="009E002A" w:rsidRPr="0011425D" w:rsidRDefault="009E002A" w:rsidP="009E002A">
      <w:pPr>
        <w:rPr>
          <w:szCs w:val="26"/>
        </w:rPr>
      </w:pPr>
    </w:p>
    <w:p w:rsidR="009E002A" w:rsidRDefault="009E002A" w:rsidP="009E002A">
      <w:pPr>
        <w:rPr>
          <w:szCs w:val="26"/>
        </w:rPr>
      </w:pPr>
    </w:p>
    <w:p w:rsidR="005A3C65" w:rsidRDefault="005A3C65"/>
    <w:sectPr w:rsidR="005A3C65" w:rsidSect="005A3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долазская Ирина Александровна">
    <w15:presenceInfo w15:providerId="None" w15:userId="Водолазская Ирина Александро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02A"/>
    <w:rsid w:val="00001D41"/>
    <w:rsid w:val="00056347"/>
    <w:rsid w:val="0006481E"/>
    <w:rsid w:val="0011425D"/>
    <w:rsid w:val="00223AAC"/>
    <w:rsid w:val="002B7A10"/>
    <w:rsid w:val="002D707F"/>
    <w:rsid w:val="00330761"/>
    <w:rsid w:val="00374D37"/>
    <w:rsid w:val="00403C87"/>
    <w:rsid w:val="004754FB"/>
    <w:rsid w:val="00556F3E"/>
    <w:rsid w:val="005A3C65"/>
    <w:rsid w:val="005E72D1"/>
    <w:rsid w:val="006126E8"/>
    <w:rsid w:val="007756BC"/>
    <w:rsid w:val="00845828"/>
    <w:rsid w:val="008D0161"/>
    <w:rsid w:val="00927931"/>
    <w:rsid w:val="00947B79"/>
    <w:rsid w:val="00955355"/>
    <w:rsid w:val="009E002A"/>
    <w:rsid w:val="00A33861"/>
    <w:rsid w:val="00A33F08"/>
    <w:rsid w:val="00A4723C"/>
    <w:rsid w:val="00AB567E"/>
    <w:rsid w:val="00B432EE"/>
    <w:rsid w:val="00B84A6A"/>
    <w:rsid w:val="00B9106A"/>
    <w:rsid w:val="00D83DB7"/>
    <w:rsid w:val="00DD2608"/>
    <w:rsid w:val="00EC3DA1"/>
    <w:rsid w:val="00F03B96"/>
    <w:rsid w:val="00F524FC"/>
    <w:rsid w:val="00F66262"/>
    <w:rsid w:val="00FA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2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9E00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002A"/>
    <w:rPr>
      <w:rFonts w:ascii="Arial" w:eastAsia="Times New Roman" w:hAnsi="Arial" w:cs="Arial"/>
      <w:b/>
      <w:bCs/>
      <w:i/>
      <w:iCs/>
      <w:sz w:val="28"/>
      <w:szCs w:val="28"/>
      <w:lang w:eastAsia="ru-RU"/>
    </w:rPr>
  </w:style>
  <w:style w:type="paragraph" w:styleId="a3">
    <w:name w:val="Title"/>
    <w:basedOn w:val="a"/>
    <w:link w:val="a4"/>
    <w:uiPriority w:val="99"/>
    <w:qFormat/>
    <w:rsid w:val="009E002A"/>
    <w:pPr>
      <w:jc w:val="center"/>
    </w:pPr>
  </w:style>
  <w:style w:type="character" w:customStyle="1" w:styleId="a4">
    <w:name w:val="Название Знак"/>
    <w:basedOn w:val="a0"/>
    <w:link w:val="a3"/>
    <w:uiPriority w:val="99"/>
    <w:rsid w:val="009E002A"/>
    <w:rPr>
      <w:rFonts w:ascii="Times New Roman" w:eastAsia="Times New Roman" w:hAnsi="Times New Roman" w:cs="Times New Roman"/>
      <w:sz w:val="24"/>
      <w:szCs w:val="20"/>
      <w:lang w:eastAsia="ru-RU"/>
    </w:rPr>
  </w:style>
  <w:style w:type="paragraph" w:customStyle="1" w:styleId="ConsPlusNormal">
    <w:name w:val="ConsPlusNormal"/>
    <w:rsid w:val="009E002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ubst">
    <w:name w:val="Subst"/>
    <w:uiPriority w:val="99"/>
    <w:rsid w:val="009E002A"/>
    <w:rPr>
      <w:b/>
      <w:bCs w:val="0"/>
      <w:i/>
      <w:iCs w:val="0"/>
    </w:rPr>
  </w:style>
  <w:style w:type="character" w:customStyle="1" w:styleId="hl">
    <w:name w:val="hl"/>
    <w:basedOn w:val="a0"/>
    <w:rsid w:val="009E002A"/>
  </w:style>
  <w:style w:type="paragraph" w:styleId="a5">
    <w:name w:val="Balloon Text"/>
    <w:basedOn w:val="a"/>
    <w:link w:val="a6"/>
    <w:uiPriority w:val="99"/>
    <w:semiHidden/>
    <w:unhideWhenUsed/>
    <w:rsid w:val="00955355"/>
    <w:rPr>
      <w:rFonts w:ascii="Tahoma" w:hAnsi="Tahoma" w:cs="Tahoma"/>
      <w:sz w:val="16"/>
      <w:szCs w:val="16"/>
    </w:rPr>
  </w:style>
  <w:style w:type="character" w:customStyle="1" w:styleId="a6">
    <w:name w:val="Текст выноски Знак"/>
    <w:basedOn w:val="a0"/>
    <w:link w:val="a5"/>
    <w:uiPriority w:val="99"/>
    <w:semiHidden/>
    <w:rsid w:val="00955355"/>
    <w:rPr>
      <w:rFonts w:ascii="Tahoma" w:eastAsia="Times New Roman" w:hAnsi="Tahoma" w:cs="Tahoma"/>
      <w:sz w:val="16"/>
      <w:szCs w:val="16"/>
      <w:lang w:eastAsia="ru-RU"/>
    </w:rPr>
  </w:style>
  <w:style w:type="character" w:styleId="a7">
    <w:name w:val="Hyperlink"/>
    <w:uiPriority w:val="99"/>
    <w:rsid w:val="003307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150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isclosure.ru/portal/company.aspx?id=94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5065E-411F-4C79-96C6-FB8FF896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Потоцкая Елена Александровна</dc:creator>
  <cp:lastModifiedBy>Потоцкая Елена Александровна</cp:lastModifiedBy>
  <cp:revision>10</cp:revision>
  <cp:lastPrinted>2021-12-16T23:32:00Z</cp:lastPrinted>
  <dcterms:created xsi:type="dcterms:W3CDTF">2021-02-12T01:40:00Z</dcterms:created>
  <dcterms:modified xsi:type="dcterms:W3CDTF">2021-12-16T23:34:00Z</dcterms:modified>
</cp:coreProperties>
</file>