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960" w:after="40"/>
        <w:ind w:right="-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Ж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Ч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</w:p>
    <w:p w:rsidR="00000000" w:rsidRDefault="00657125">
      <w:pPr>
        <w:widowControl w:val="0"/>
        <w:autoSpaceDE w:val="0"/>
        <w:autoSpaceDN w:val="0"/>
        <w:adjustRightInd w:val="0"/>
        <w:spacing w:before="600" w:after="40"/>
        <w:ind w:right="-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морской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торговый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120" w:after="40"/>
        <w:ind w:right="-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31014-F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40"/>
        <w:ind w:right="-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>
        <w:rPr>
          <w:rFonts w:ascii="Times New Roman" w:hAnsi="Times New Roman" w:cs="Times New Roman"/>
          <w:b/>
          <w:bCs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2018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840" w:after="4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эмитента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 xml:space="preserve"> 682860 </w:t>
      </w:r>
      <w:r>
        <w:rPr>
          <w:rFonts w:ascii="Times New Roman" w:hAnsi="Times New Roman" w:cs="Times New Roman"/>
          <w:b/>
          <w:bCs/>
        </w:rPr>
        <w:t>Российская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Федерация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Хабаровский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край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Ванинский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район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Железнодорожная</w:t>
      </w:r>
      <w:r>
        <w:rPr>
          <w:rFonts w:ascii="Times New Roman" w:hAnsi="Times New Roman" w:cs="Times New Roman"/>
          <w:b/>
          <w:bCs/>
        </w:rPr>
        <w:t xml:space="preserve"> 1</w:t>
      </w:r>
    </w:p>
    <w:p w:rsidR="00000000" w:rsidRDefault="00657125">
      <w:pPr>
        <w:widowControl w:val="0"/>
        <w:autoSpaceDE w:val="0"/>
        <w:autoSpaceDN w:val="0"/>
        <w:adjustRightInd w:val="0"/>
        <w:spacing w:before="600" w:after="360"/>
        <w:ind w:right="-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</w:t>
      </w:r>
      <w:r>
        <w:rPr>
          <w:rFonts w:ascii="Times New Roman" w:hAnsi="Times New Roman" w:cs="Times New Roman"/>
          <w:b/>
          <w:bCs/>
        </w:rPr>
        <w:t>формация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содержащаяся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настоящем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ежеквартальном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отчете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подлежит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раскрытию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соответствии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законодательством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Российской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Федерации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ценных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бумагах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1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0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0" w:after="20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Дмитраков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1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0" w:type="dxa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0" w:after="20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3176"/>
      </w:tblGrid>
      <w:tr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572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4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Безденежных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Юрьевич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отдела</w:t>
            </w: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4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(42137) 5-75-69</w:t>
            </w: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4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(42137) 7-75-75</w:t>
            </w: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4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ocb@vcsp.ru</w:t>
            </w:r>
          </w:p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40" w:after="40"/>
              <w:ind w:right="-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содержащаяся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www.e-disclosure.ru/portal/company.aspx?id=9499</w:t>
            </w:r>
          </w:p>
        </w:tc>
      </w:tr>
    </w:tbl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4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Оглавление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</w:t>
      </w:r>
      <w:r>
        <w:rPr>
          <w:rFonts w:ascii="Times New Roman" w:hAnsi="Times New Roman" w:cs="Times New Roman"/>
          <w:sz w:val="20"/>
          <w:szCs w:val="20"/>
        </w:rPr>
        <w:t>едение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I.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банковских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счетах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оценщике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консультанте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подписавших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ежеквартальный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</w:t>
      </w:r>
      <w:r>
        <w:rPr>
          <w:rFonts w:ascii="Times New Roman" w:hAnsi="Times New Roman" w:cs="Times New Roman"/>
          <w:sz w:val="20"/>
          <w:szCs w:val="20"/>
        </w:rPr>
        <w:t>……………...6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</w:t>
      </w:r>
      <w:r>
        <w:rPr>
          <w:rFonts w:ascii="Times New Roman" w:hAnsi="Times New Roman" w:cs="Times New Roman"/>
          <w:sz w:val="20"/>
          <w:szCs w:val="20"/>
        </w:rPr>
        <w:t>вских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счетах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…………………….……………………………………...6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………….…………………….….....6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оценщике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оценщиках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.....…………………………………………………8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консультантах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…………………….…………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…………………………….…8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подписавших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ежеквартальный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</w:t>
      </w:r>
      <w:r>
        <w:rPr>
          <w:rFonts w:ascii="Times New Roman" w:hAnsi="Times New Roman" w:cs="Times New Roman"/>
          <w:sz w:val="20"/>
          <w:szCs w:val="20"/>
        </w:rPr>
        <w:t>……………………………….………….8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II. </w:t>
      </w:r>
      <w:r>
        <w:rPr>
          <w:rFonts w:ascii="Times New Roman" w:hAnsi="Times New Roman" w:cs="Times New Roman"/>
          <w:sz w:val="20"/>
          <w:szCs w:val="20"/>
        </w:rPr>
        <w:t>Основная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экономическом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состоянии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……………………….8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>Обязательства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</w:t>
      </w:r>
      <w:r>
        <w:rPr>
          <w:rFonts w:ascii="Times New Roman" w:hAnsi="Times New Roman" w:cs="Times New Roman"/>
          <w:sz w:val="20"/>
          <w:szCs w:val="20"/>
        </w:rPr>
        <w:t>Кредитная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стория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2.3.3. </w:t>
      </w:r>
      <w:r>
        <w:rPr>
          <w:rFonts w:ascii="Times New Roman" w:hAnsi="Times New Roman" w:cs="Times New Roman"/>
          <w:sz w:val="20"/>
          <w:szCs w:val="20"/>
        </w:rPr>
        <w:t>Обязательства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предоставленного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обеспечения</w:t>
      </w:r>
      <w:r>
        <w:rPr>
          <w:rFonts w:ascii="Times New Roman" w:hAnsi="Times New Roman" w:cs="Times New Roman"/>
          <w:sz w:val="20"/>
          <w:szCs w:val="20"/>
        </w:rPr>
        <w:t>……………………………....…8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</w:t>
      </w:r>
      <w:r>
        <w:rPr>
          <w:rFonts w:ascii="Times New Roman" w:hAnsi="Times New Roman" w:cs="Times New Roman"/>
          <w:sz w:val="20"/>
          <w:szCs w:val="20"/>
        </w:rPr>
        <w:t>Прочие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обязательства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>Риски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связанные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размещаемых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размещенных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>……………...9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III. </w:t>
      </w:r>
      <w:r>
        <w:rPr>
          <w:rFonts w:ascii="Times New Roman" w:hAnsi="Times New Roman" w:cs="Times New Roman"/>
          <w:sz w:val="20"/>
          <w:szCs w:val="20"/>
        </w:rPr>
        <w:t>Подробная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 </w:t>
      </w:r>
      <w:r>
        <w:rPr>
          <w:rFonts w:ascii="Times New Roman" w:hAnsi="Times New Roman" w:cs="Times New Roman"/>
          <w:sz w:val="20"/>
          <w:szCs w:val="20"/>
        </w:rPr>
        <w:t>История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создания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развитие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………………………………………..………………......9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 </w:t>
      </w: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наименовании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создании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развитии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3.1.4. </w:t>
      </w:r>
      <w:r>
        <w:rPr>
          <w:rFonts w:ascii="Times New Roman" w:hAnsi="Times New Roman" w:cs="Times New Roman"/>
          <w:sz w:val="20"/>
          <w:szCs w:val="20"/>
        </w:rPr>
        <w:t>Контактная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</w:t>
      </w:r>
      <w:r>
        <w:rPr>
          <w:rFonts w:ascii="Times New Roman" w:hAnsi="Times New Roman" w:cs="Times New Roman"/>
          <w:sz w:val="20"/>
          <w:szCs w:val="20"/>
        </w:rPr>
        <w:t>Идентификационный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налогоплательщика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……………………………………….10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sz w:val="20"/>
          <w:szCs w:val="20"/>
        </w:rPr>
        <w:t>Основная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хозяйственная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…………………………………………………10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3.2.1. </w:t>
      </w:r>
      <w:r>
        <w:rPr>
          <w:rFonts w:ascii="Times New Roman" w:hAnsi="Times New Roman" w:cs="Times New Roman"/>
          <w:sz w:val="20"/>
          <w:szCs w:val="20"/>
        </w:rPr>
        <w:t>Основные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……………………………………….10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</w:t>
      </w:r>
      <w:r>
        <w:rPr>
          <w:rFonts w:ascii="Times New Roman" w:hAnsi="Times New Roman" w:cs="Times New Roman"/>
          <w:sz w:val="20"/>
          <w:szCs w:val="20"/>
        </w:rPr>
        <w:t>Рынки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сбыта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продукции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……………………………………………….10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3.2.5.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лицензий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………………………………………………………………………………………………………10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3.2.6.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эмитентов</w:t>
      </w:r>
      <w:r>
        <w:rPr>
          <w:rFonts w:ascii="Times New Roman" w:hAnsi="Times New Roman" w:cs="Times New Roman"/>
          <w:sz w:val="20"/>
          <w:szCs w:val="20"/>
        </w:rPr>
        <w:t>……………………………………12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sz w:val="20"/>
          <w:szCs w:val="20"/>
        </w:rPr>
        <w:t>Планы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будущей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банковских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группах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банковских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холдингах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холдингах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ассоциациях</w:t>
      </w:r>
      <w:r>
        <w:rPr>
          <w:rFonts w:ascii="Times New Roman" w:hAnsi="Times New Roman" w:cs="Times New Roman"/>
          <w:sz w:val="20"/>
          <w:szCs w:val="20"/>
        </w:rPr>
        <w:t>...12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</w:t>
      </w:r>
      <w:r>
        <w:rPr>
          <w:rFonts w:ascii="Times New Roman" w:hAnsi="Times New Roman" w:cs="Times New Roman"/>
          <w:sz w:val="20"/>
          <w:szCs w:val="20"/>
        </w:rPr>
        <w:t>Подконтрольные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значение</w:t>
      </w:r>
      <w:r>
        <w:rPr>
          <w:rFonts w:ascii="Times New Roman" w:hAnsi="Times New Roman" w:cs="Times New Roman"/>
          <w:sz w:val="20"/>
          <w:szCs w:val="20"/>
        </w:rPr>
        <w:t>………...12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IV.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</w:t>
      </w:r>
      <w:r>
        <w:rPr>
          <w:rFonts w:ascii="Times New Roman" w:hAnsi="Times New Roman" w:cs="Times New Roman"/>
          <w:sz w:val="20"/>
          <w:szCs w:val="20"/>
        </w:rPr>
        <w:t>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</w:t>
      </w:r>
      <w:r>
        <w:rPr>
          <w:rFonts w:ascii="Times New Roman" w:hAnsi="Times New Roman" w:cs="Times New Roman"/>
          <w:sz w:val="20"/>
          <w:szCs w:val="20"/>
        </w:rPr>
        <w:t>Анализ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тенденций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развития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…………………………..12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</w:t>
      </w:r>
      <w:r>
        <w:rPr>
          <w:rFonts w:ascii="Times New Roman" w:hAnsi="Times New Roman" w:cs="Times New Roman"/>
          <w:sz w:val="20"/>
          <w:szCs w:val="20"/>
        </w:rPr>
        <w:t>Анализ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факторов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влияющих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……………………………..12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4.8. </w:t>
      </w:r>
      <w:r>
        <w:rPr>
          <w:rFonts w:ascii="Times New Roman" w:hAnsi="Times New Roman" w:cs="Times New Roman"/>
          <w:sz w:val="20"/>
          <w:szCs w:val="20"/>
        </w:rPr>
        <w:t>Конкуренты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………………….13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V. </w:t>
      </w:r>
      <w:r>
        <w:rPr>
          <w:rFonts w:ascii="Times New Roman" w:hAnsi="Times New Roman" w:cs="Times New Roman"/>
          <w:sz w:val="20"/>
          <w:szCs w:val="20"/>
        </w:rPr>
        <w:t>Подробные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краткие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сотрудниках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работниках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……………………………………………………………………………13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структуре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компетенции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…………………………...13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……………………….13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5.2.1.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наблюдательного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…………………………...…..13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5.2.2.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единоличном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исполнительном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………………………………19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5.2.3.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коллегиального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…………………………………….20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компенсации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расходов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…………………………………………………………………………………….20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структуре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компетенции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рисками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внутреннего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.21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………………………………………………………………………………....21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компенсации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расходов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</w:t>
      </w:r>
      <w:r>
        <w:rPr>
          <w:rFonts w:ascii="Times New Roman" w:hAnsi="Times New Roman" w:cs="Times New Roman"/>
          <w:sz w:val="20"/>
          <w:szCs w:val="20"/>
        </w:rPr>
        <w:t>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…………………………………………………..24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обобщенные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сотрудников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сотрудников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……………………………..24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5.8.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обязате</w:t>
      </w:r>
      <w:r>
        <w:rPr>
          <w:rFonts w:ascii="Times New Roman" w:hAnsi="Times New Roman" w:cs="Times New Roman"/>
          <w:sz w:val="20"/>
          <w:szCs w:val="20"/>
        </w:rPr>
        <w:t>льствах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перед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сотрудниками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работниками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касающихся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возможности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……………………………………………...25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VI.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сделках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имелась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заинтересованность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…………………………………………………………...25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6.1-6.2. </w:t>
      </w:r>
      <w:r>
        <w:rPr>
          <w:rFonts w:ascii="Times New Roman" w:hAnsi="Times New Roman" w:cs="Times New Roman"/>
          <w:sz w:val="20"/>
          <w:szCs w:val="20"/>
        </w:rPr>
        <w:t>Акционеры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………………………………………………………………………………………25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……………………………25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</w:t>
      </w:r>
      <w:r>
        <w:rPr>
          <w:rFonts w:ascii="Times New Roman" w:hAnsi="Times New Roman" w:cs="Times New Roman"/>
          <w:sz w:val="20"/>
          <w:szCs w:val="20"/>
        </w:rPr>
        <w:t>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контролирующих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отсутствия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акционерах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владеющих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>………………………………...25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 ('</w:t>
      </w:r>
      <w:r>
        <w:rPr>
          <w:rFonts w:ascii="Times New Roman" w:hAnsi="Times New Roman" w:cs="Times New Roman"/>
          <w:sz w:val="20"/>
          <w:szCs w:val="20"/>
        </w:rPr>
        <w:t>золотой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акции</w:t>
      </w:r>
      <w:r>
        <w:rPr>
          <w:rFonts w:ascii="Times New Roman" w:hAnsi="Times New Roman" w:cs="Times New Roman"/>
          <w:sz w:val="20"/>
          <w:szCs w:val="20"/>
        </w:rPr>
        <w:t>')………………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…………………………….28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ограничениях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………………………….28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………………………………………………………………….28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6.6.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сделках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имелась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заинтересованность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………………………………………………………………………………………32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VII. </w:t>
      </w:r>
      <w:r>
        <w:rPr>
          <w:rFonts w:ascii="Times New Roman" w:hAnsi="Times New Roman" w:cs="Times New Roman"/>
          <w:sz w:val="20"/>
          <w:szCs w:val="20"/>
        </w:rPr>
        <w:t>Бухгалтерская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финансовая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отчетнос</w:t>
      </w:r>
      <w:r>
        <w:rPr>
          <w:rFonts w:ascii="Times New Roman" w:hAnsi="Times New Roman" w:cs="Times New Roman"/>
          <w:sz w:val="20"/>
          <w:szCs w:val="20"/>
        </w:rPr>
        <w:t>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>…………..32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sz w:val="20"/>
          <w:szCs w:val="20"/>
        </w:rPr>
        <w:t>Годовая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бухгалтерская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финансовая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отчетность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………………………………………32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</w:t>
      </w:r>
      <w:r>
        <w:rPr>
          <w:rFonts w:ascii="Times New Roman" w:hAnsi="Times New Roman" w:cs="Times New Roman"/>
          <w:sz w:val="20"/>
          <w:szCs w:val="20"/>
        </w:rPr>
        <w:t>Промежуточная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бухгалтерская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финансовая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отчетность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……………………………..32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>
        <w:rPr>
          <w:rFonts w:ascii="Times New Roman" w:hAnsi="Times New Roman" w:cs="Times New Roman"/>
          <w:sz w:val="20"/>
          <w:szCs w:val="20"/>
        </w:rPr>
        <w:t>Консолидированная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</w:t>
      </w:r>
      <w:r>
        <w:rPr>
          <w:rFonts w:ascii="Times New Roman" w:hAnsi="Times New Roman" w:cs="Times New Roman"/>
          <w:sz w:val="20"/>
          <w:szCs w:val="20"/>
        </w:rPr>
        <w:t>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…………………………………………...32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политике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………………………………………………………….32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изменениях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произошедших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имущества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…………………………………………...32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7.7.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судебных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процессах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отразиться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…………………….33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VIII. </w:t>
      </w:r>
      <w:r>
        <w:rPr>
          <w:rFonts w:ascii="Times New Roman" w:hAnsi="Times New Roman" w:cs="Times New Roman"/>
          <w:sz w:val="20"/>
          <w:szCs w:val="20"/>
        </w:rPr>
        <w:t>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размещенных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эмиссионных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</w:t>
      </w:r>
      <w:r>
        <w:rPr>
          <w:rFonts w:ascii="Times New Roman" w:hAnsi="Times New Roman" w:cs="Times New Roman"/>
          <w:sz w:val="20"/>
          <w:szCs w:val="20"/>
        </w:rPr>
        <w:t>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бумагах</w:t>
      </w:r>
      <w:r>
        <w:rPr>
          <w:rFonts w:ascii="Times New Roman" w:hAnsi="Times New Roman" w:cs="Times New Roman"/>
          <w:sz w:val="20"/>
          <w:szCs w:val="20"/>
        </w:rPr>
        <w:t>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</w:t>
      </w:r>
      <w:r>
        <w:rPr>
          <w:rFonts w:ascii="Times New Roman" w:hAnsi="Times New Roman" w:cs="Times New Roman"/>
          <w:sz w:val="20"/>
          <w:szCs w:val="20"/>
        </w:rPr>
        <w:t>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8.1.1.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структуре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………………………………....33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8.1.2.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……………………………….33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8.1.3. </w:t>
      </w:r>
      <w:r>
        <w:rPr>
          <w:rFonts w:ascii="Times New Roman" w:hAnsi="Times New Roman" w:cs="Times New Roman"/>
          <w:sz w:val="20"/>
          <w:szCs w:val="20"/>
        </w:rPr>
        <w:t>Сведе</w:t>
      </w:r>
      <w:r>
        <w:rPr>
          <w:rFonts w:ascii="Times New Roman" w:hAnsi="Times New Roman" w:cs="Times New Roman"/>
          <w:sz w:val="20"/>
          <w:szCs w:val="20"/>
        </w:rPr>
        <w:t>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созыва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заседания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высшего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8.1.4.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владеет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>……33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8.1.6.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кредитных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рейтингах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предыдущих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выпусках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эмиссионных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</w:t>
      </w:r>
      <w:r>
        <w:rPr>
          <w:rFonts w:ascii="Times New Roman" w:hAnsi="Times New Roman" w:cs="Times New Roman"/>
          <w:sz w:val="20"/>
          <w:szCs w:val="20"/>
        </w:rPr>
        <w:t>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исключением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8.3.1.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выпусках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погашены</w:t>
      </w:r>
      <w:r>
        <w:rPr>
          <w:rFonts w:ascii="Times New Roman" w:hAnsi="Times New Roman" w:cs="Times New Roman"/>
          <w:sz w:val="20"/>
          <w:szCs w:val="20"/>
        </w:rPr>
        <w:t>………………………………...34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8.3.2.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выпусках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ценные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погашенными</w:t>
      </w:r>
      <w:r>
        <w:rPr>
          <w:rFonts w:ascii="Times New Roman" w:hAnsi="Times New Roman" w:cs="Times New Roman"/>
          <w:sz w:val="20"/>
          <w:szCs w:val="20"/>
        </w:rPr>
        <w:t>………………….34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</w:t>
      </w:r>
      <w:r>
        <w:rPr>
          <w:rFonts w:ascii="Times New Roman" w:hAnsi="Times New Roman" w:cs="Times New Roman"/>
          <w:sz w:val="20"/>
          <w:szCs w:val="20"/>
        </w:rPr>
        <w:t>Све</w:t>
      </w:r>
      <w:r>
        <w:rPr>
          <w:rFonts w:ascii="Times New Roman" w:hAnsi="Times New Roman" w:cs="Times New Roman"/>
          <w:sz w:val="20"/>
          <w:szCs w:val="20"/>
        </w:rPr>
        <w:t>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предоставившем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предоставивших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обеспечение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облигациям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обеспечением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обеспечении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предоставленном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облигациям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обеспечением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………………………………………………………………………………………….…34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8.4.1. </w:t>
      </w:r>
      <w:r>
        <w:rPr>
          <w:rFonts w:ascii="Times New Roman" w:hAnsi="Times New Roman" w:cs="Times New Roman"/>
          <w:sz w:val="20"/>
          <w:szCs w:val="20"/>
        </w:rPr>
        <w:t>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потечном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покрытии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облигациям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ипотечным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покрытием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8.4.2. </w:t>
      </w:r>
      <w:r>
        <w:rPr>
          <w:rFonts w:ascii="Times New Roman" w:hAnsi="Times New Roman" w:cs="Times New Roman"/>
          <w:sz w:val="20"/>
          <w:szCs w:val="20"/>
        </w:rPr>
        <w:t>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залоговом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обеспечении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денежными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требованиями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облигациям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залоговым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обеспечением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денежными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требованиями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8.5.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осуществляющих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эмиссионные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8.6.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регулирующих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вопросы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повлиять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дивидендов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процентов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платежей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нерезидентам</w:t>
      </w:r>
      <w:r>
        <w:rPr>
          <w:rFonts w:ascii="Times New Roman" w:hAnsi="Times New Roman" w:cs="Times New Roman"/>
          <w:sz w:val="20"/>
          <w:szCs w:val="20"/>
        </w:rPr>
        <w:t>….34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8.7.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объявленных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начисленных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выплаченных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дивидендах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доходах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облигациям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8.7.1.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объявленных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выплаченных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дивидендах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………………...34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8.7.2.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начисленных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выплаченных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доходах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облигациям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………………...34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8.8. </w:t>
      </w: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……………………………………………………………………………………….34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567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представляемых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едставляемых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удостоверяется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депозитарными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расписками</w:t>
      </w:r>
      <w:r>
        <w:rPr>
          <w:rFonts w:ascii="Times New Roman" w:hAnsi="Times New Roman" w:cs="Times New Roman"/>
          <w:sz w:val="20"/>
          <w:szCs w:val="20"/>
        </w:rPr>
        <w:t>……………34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возникновения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обязанности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раскрытие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ежеквартального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созданным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приватизации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государственных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муниципальных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предприятий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подразделений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соответствии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планом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приватизации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утвержденным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установленном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порядке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являвшимся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утверждения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проспектом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эмиссии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такого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предусмотрена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возможность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отчуждения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более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500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приобретателям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либо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неограниченному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кругу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ежеквартальный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содержит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прогнозы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уполномоченных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касательно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будущих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событий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перспектив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развития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отрасли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вероятности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определенных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событий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совершения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определ</w:t>
      </w:r>
      <w:r>
        <w:rPr>
          <w:rFonts w:ascii="Times New Roman" w:hAnsi="Times New Roman" w:cs="Times New Roman"/>
          <w:sz w:val="20"/>
          <w:szCs w:val="20"/>
        </w:rPr>
        <w:t>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Инвесторы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полагаться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прогнозы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фактические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будущем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отличаться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прогнозируемых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многим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причинам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Приобретение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связано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рисками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описанными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ежеквартальном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I.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банковских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счетах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аудиторе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аудиторской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оценщике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консультанте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подписавших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ежеквартальный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1.1.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банковских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счетах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1.2.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аудиторе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аудиторской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</w:t>
      </w:r>
      <w:r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осуществившего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осуществившей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независимую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бухгалтерской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консолидированной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ежеквартального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утвержд</w:t>
      </w:r>
      <w:r>
        <w:rPr>
          <w:rFonts w:ascii="Times New Roman" w:hAnsi="Times New Roman" w:cs="Times New Roman"/>
          <w:sz w:val="20"/>
          <w:szCs w:val="20"/>
        </w:rPr>
        <w:t>енного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выбранного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бухгалтерской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консолидированной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ограниченной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ственностью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компания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АВУАР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ООО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АВУАР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620027,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Свердловская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область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Екатеренбург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Красный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5,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7453129140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1047424500078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+7 (343) 328-1817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акс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+7 (343) 236-6255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электронной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почты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ekb@avuar.ru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членстве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саморегулируемых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аудиторов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Саморегулируемая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Союз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6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107031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Москва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Петровский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переулок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 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.: +7 (495) 694-01-56; + 7 (495) 694-01-08; + 7 (495) 609-00-52; + 7 (495) 629-32-64</w:t>
      </w:r>
      <w:r>
        <w:rPr>
          <w:rFonts w:ascii="MS Mincho" w:eastAsia="MS Mincho" w:hAnsi="MS Mincho" w:cs="MS Mincho" w:hint="eastAsia"/>
          <w:b/>
          <w:bCs/>
          <w:i/>
          <w:iCs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факс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+7 (495) 694-01-56; + 7 (495) 694-01-08; + 7 (495) 609-00-52; + 7 (495) 629-32-64 </w:t>
      </w:r>
      <w:r>
        <w:rPr>
          <w:rFonts w:ascii="MS Mincho" w:eastAsia="MS Mincho" w:hAnsi="MS Mincho" w:cs="MS Mincho" w:hint="eastAsia"/>
          <w:b/>
          <w:bCs/>
          <w:i/>
          <w:iCs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ектронная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почта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:rsa@org-rsa.ru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годы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аудитором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проводилась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будет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проводиться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независимая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бухгалтерской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Описываются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факторы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оказать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влияние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независимость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интересов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связывающих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занимающими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</w:t>
      </w:r>
      <w:r>
        <w:rPr>
          <w:rFonts w:ascii="Times New Roman" w:hAnsi="Times New Roman" w:cs="Times New Roman"/>
          <w:sz w:val="20"/>
          <w:szCs w:val="20"/>
        </w:rPr>
        <w:t>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Факторов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оказать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влияние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независимость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числе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существенных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интересов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связывающих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занимающих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контроля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хозяйственной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занимающими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контроля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хозяйственной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аличие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занимающие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контроля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хозяйственной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имеют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заемных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аудитору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лицам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занимающим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заемных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средств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занимающим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контроля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хозяйственной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осуществлялось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тесных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взаимоотношений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продвижении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продукции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предпринимательской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.),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Тесных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деловых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взаимоотношений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продвижении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продукции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совместной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предпринимательской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.),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также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одновременн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занимают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занимающих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контроля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хозяйственной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одновременно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занимают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контроля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хозяйственной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факторы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повлиять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независимость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факторов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повлиять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независимость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выбора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тендера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связанного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выбором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Конкурс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отбору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требуется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Процедура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выдвижения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кандида</w:t>
      </w:r>
      <w:r>
        <w:rPr>
          <w:rFonts w:ascii="Times New Roman" w:hAnsi="Times New Roman" w:cs="Times New Roman"/>
          <w:sz w:val="20"/>
          <w:szCs w:val="20"/>
        </w:rPr>
        <w:t>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принимающий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Избрание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числа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кандидатов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направивших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предложение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оказании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Кандидатура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утверждается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общим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собранием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большинством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голосов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владельцев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принимающих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собрании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принимающим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решение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выдвижении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кандидатуры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утверждение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Общему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собранию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директоров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проводимых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рамках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рамках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специальных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проводилась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</w:t>
      </w:r>
      <w:r>
        <w:rPr>
          <w:rFonts w:ascii="Times New Roman" w:hAnsi="Times New Roman" w:cs="Times New Roman"/>
          <w:sz w:val="20"/>
          <w:szCs w:val="20"/>
        </w:rPr>
        <w:t>сывается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фактический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выплаченного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аудитору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итогам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ау</w:t>
      </w:r>
      <w:r>
        <w:rPr>
          <w:rFonts w:ascii="Times New Roman" w:hAnsi="Times New Roman" w:cs="Times New Roman"/>
          <w:sz w:val="20"/>
          <w:szCs w:val="20"/>
        </w:rPr>
        <w:t>дитором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аудиторской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организацией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проводилась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независимая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бухгалтерской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отчетности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годовой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консолидированной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Порядок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определения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размера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вознаграждения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определен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основании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оказание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аудиторских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-12/2018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27.03.2018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года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итогам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последнего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завершенного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года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выплачено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вознаграждение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размере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512 500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рублей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Отсроченных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просроченных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платежей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оказанные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Отсроченных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просроченных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платежей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оказанные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аудитором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1.3.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оценщике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оценщиках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1.4.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консультантах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</w:t>
      </w:r>
      <w:r>
        <w:rPr>
          <w:rFonts w:ascii="Times New Roman" w:hAnsi="Times New Roman" w:cs="Times New Roman"/>
          <w:b/>
          <w:bCs/>
          <w:sz w:val="22"/>
          <w:szCs w:val="22"/>
        </w:rPr>
        <w:t>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консультанты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основаниям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перечисленным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1.4.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Положению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Банка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декабря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2014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года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454-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раскрытии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эмиссионных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бумаг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течение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месяцев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окончания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привлекались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1.5.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лицах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подписавших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ежеквартальный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отчет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Дмитраков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Евгений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Станиславович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1980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Генеральный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Петровская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Галина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торовна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1972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Главный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бухгалтер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экономическом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состоянии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2.1. </w:t>
      </w:r>
      <w:r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финансово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экономической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</w:t>
      </w:r>
      <w:r>
        <w:rPr>
          <w:rFonts w:ascii="Times New Roman" w:hAnsi="Times New Roman" w:cs="Times New Roman"/>
          <w:b/>
          <w:bCs/>
          <w:sz w:val="22"/>
          <w:szCs w:val="22"/>
        </w:rPr>
        <w:t>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bCs/>
          <w:sz w:val="22"/>
          <w:szCs w:val="22"/>
        </w:rPr>
        <w:t>Рыночная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капитализация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обыкновенные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допущены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обращению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организатором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торговли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2.3. </w:t>
      </w:r>
      <w:r>
        <w:rPr>
          <w:rFonts w:ascii="Times New Roman" w:hAnsi="Times New Roman" w:cs="Times New Roman"/>
          <w:b/>
          <w:bCs/>
          <w:sz w:val="22"/>
          <w:szCs w:val="22"/>
        </w:rPr>
        <w:t>Обязательства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2.3.1. </w:t>
      </w:r>
      <w:r>
        <w:rPr>
          <w:rFonts w:ascii="Times New Roman" w:hAnsi="Times New Roman" w:cs="Times New Roman"/>
          <w:b/>
          <w:bCs/>
          <w:sz w:val="22"/>
          <w:szCs w:val="22"/>
        </w:rPr>
        <w:t>Заемные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средства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кредиторская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</w:rPr>
        <w:t>долженность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2.3.2. </w:t>
      </w:r>
      <w:r>
        <w:rPr>
          <w:rFonts w:ascii="Times New Roman" w:hAnsi="Times New Roman" w:cs="Times New Roman"/>
          <w:b/>
          <w:bCs/>
          <w:sz w:val="22"/>
          <w:szCs w:val="22"/>
        </w:rPr>
        <w:t>Кредитная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история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что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ценные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бумаги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допущены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организованным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предоставившей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обеспечение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облигациям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другого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допущены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организованным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основании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10.10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Положения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раскрытии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ежеквартальный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включается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2.3.3. </w:t>
      </w:r>
      <w:r>
        <w:rPr>
          <w:rFonts w:ascii="Times New Roman" w:hAnsi="Times New Roman" w:cs="Times New Roman"/>
          <w:b/>
          <w:bCs/>
          <w:sz w:val="22"/>
          <w:szCs w:val="22"/>
        </w:rPr>
        <w:t>Обязательства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из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предоставленного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обеспечения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что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ценные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умаги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допущены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организованным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предоставившей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обеспечение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облигациям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другого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допущены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организованным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основании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10.10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Положения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раскрытии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ежеквартальный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включается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2.3.4. </w:t>
      </w:r>
      <w:r>
        <w:rPr>
          <w:rFonts w:ascii="Times New Roman" w:hAnsi="Times New Roman" w:cs="Times New Roman"/>
          <w:b/>
          <w:bCs/>
          <w:sz w:val="22"/>
          <w:szCs w:val="22"/>
        </w:rPr>
        <w:t>Прочие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обязательства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Прочих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обязательств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отраженных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бухгалтерской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существенно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отразиться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состоянии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ликвидности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сточниках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финансирования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условиях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использования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расходов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имеется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2.4. </w:t>
      </w:r>
      <w:r>
        <w:rPr>
          <w:rFonts w:ascii="Times New Roman" w:hAnsi="Times New Roman" w:cs="Times New Roman"/>
          <w:b/>
          <w:bCs/>
          <w:sz w:val="22"/>
          <w:szCs w:val="22"/>
        </w:rPr>
        <w:t>Риски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связанные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приобретением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размещаемых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размещенных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ценных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бумаг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III. </w:t>
      </w:r>
      <w:r>
        <w:rPr>
          <w:rFonts w:ascii="Times New Roman" w:hAnsi="Times New Roman" w:cs="Times New Roman"/>
          <w:b/>
          <w:bCs/>
          <w:sz w:val="28"/>
          <w:szCs w:val="28"/>
        </w:rPr>
        <w:t>Подробная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эмитенте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 </w:t>
      </w:r>
      <w:r>
        <w:rPr>
          <w:rFonts w:ascii="Times New Roman" w:hAnsi="Times New Roman" w:cs="Times New Roman"/>
          <w:b/>
          <w:bCs/>
          <w:sz w:val="22"/>
          <w:szCs w:val="22"/>
        </w:rPr>
        <w:t>История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создания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развитие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3.1.1. </w:t>
      </w:r>
      <w:r>
        <w:rPr>
          <w:rFonts w:ascii="Times New Roman" w:hAnsi="Times New Roman" w:cs="Times New Roman"/>
          <w:b/>
          <w:bCs/>
          <w:sz w:val="22"/>
          <w:szCs w:val="22"/>
        </w:rPr>
        <w:t>Данные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фирменном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наименовании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наименовании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торговый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19.09.2017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сокращенного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19.09.2017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предшествующие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течен</w:t>
      </w:r>
      <w:r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существования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торговый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10.12.1993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Регист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юридического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3.1.2.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государственной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регистрации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первичной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регистрации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регистрации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467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регистрации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10.12.1993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осуществившего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</w:t>
      </w:r>
      <w:r>
        <w:rPr>
          <w:rFonts w:ascii="Times New Roman" w:hAnsi="Times New Roman" w:cs="Times New Roman"/>
          <w:sz w:val="20"/>
          <w:szCs w:val="20"/>
        </w:rPr>
        <w:t>венную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регистрацию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Администрация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района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1022700711450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внесения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зарегистрированном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юля</w:t>
      </w:r>
      <w:r>
        <w:rPr>
          <w:rFonts w:ascii="Times New Roman" w:hAnsi="Times New Roman" w:cs="Times New Roman"/>
          <w:sz w:val="20"/>
          <w:szCs w:val="20"/>
        </w:rPr>
        <w:t xml:space="preserve"> 2002 </w:t>
      </w:r>
      <w:r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единый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08.10.2002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регистрирующего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Межрайонная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инспекция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Федеральной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налоговой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службы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Хабаровскому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краю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3.1.3.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создании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развитии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3.1.4. </w:t>
      </w:r>
      <w:r>
        <w:rPr>
          <w:rFonts w:ascii="Times New Roman" w:hAnsi="Times New Roman" w:cs="Times New Roman"/>
          <w:b/>
          <w:bCs/>
          <w:sz w:val="22"/>
          <w:szCs w:val="22"/>
        </w:rPr>
        <w:t>Контактная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рабочий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поселок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указанный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реестре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682860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район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рабочий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поселок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улица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Железнодорожная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8(42137) 7-77-99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8(42137) 7-75-75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электронной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почты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vcsp@vcsp.ru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страниц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которой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доступ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выпущенных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выпускаемых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бумагах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www.e-disclosure.ru/portal/company.aspx?id=9499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3.1.5. </w:t>
      </w:r>
      <w:r>
        <w:rPr>
          <w:rFonts w:ascii="Times New Roman" w:hAnsi="Times New Roman" w:cs="Times New Roman"/>
          <w:b/>
          <w:bCs/>
          <w:sz w:val="22"/>
          <w:szCs w:val="22"/>
        </w:rPr>
        <w:t>Идентификационный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номер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налогоплательщика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2709001590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3.1.6. </w:t>
      </w:r>
      <w:r>
        <w:rPr>
          <w:rFonts w:ascii="Times New Roman" w:hAnsi="Times New Roman" w:cs="Times New Roman"/>
          <w:b/>
          <w:bCs/>
          <w:sz w:val="22"/>
          <w:szCs w:val="22"/>
        </w:rPr>
        <w:t>Филиалы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представительства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филиалов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представительств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хозяйственная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3.2.1.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виды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экономической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основной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52.24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52.10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3.2.2.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Основна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хозяйственная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3.2.3. </w:t>
      </w:r>
      <w:r>
        <w:rPr>
          <w:rFonts w:ascii="Times New Roman" w:hAnsi="Times New Roman" w:cs="Times New Roman"/>
          <w:b/>
          <w:bCs/>
          <w:sz w:val="22"/>
          <w:szCs w:val="22"/>
        </w:rPr>
        <w:t>Материалы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товары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сырье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поставщики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3.2.4. </w:t>
      </w:r>
      <w:r>
        <w:rPr>
          <w:rFonts w:ascii="Times New Roman" w:hAnsi="Times New Roman" w:cs="Times New Roman"/>
          <w:b/>
          <w:bCs/>
          <w:sz w:val="22"/>
          <w:szCs w:val="22"/>
        </w:rPr>
        <w:t>Рынки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сбыта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продукции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работ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услуг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3.2.5.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наличии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разрешений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лицензий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допусков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отдельным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видам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работ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выдавший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лицензию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Федеральная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служба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надзору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сфере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транспорта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подтверждающего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000624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проведение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</w:t>
      </w:r>
      <w:r>
        <w:rPr>
          <w:rFonts w:ascii="Times New Roman" w:hAnsi="Times New Roman" w:cs="Times New Roman"/>
          <w:sz w:val="20"/>
          <w:szCs w:val="20"/>
        </w:rPr>
        <w:t>учено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Погрузочно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разгрузочная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применительно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опасным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грузам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внутреннем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водном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транспорте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морских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портах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04.02.2013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Бессрочная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выдавший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лицензию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Федеральная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служба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надзору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сфере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природопользования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</w:t>
      </w:r>
      <w:r>
        <w:rPr>
          <w:rFonts w:ascii="Times New Roman" w:hAnsi="Times New Roman" w:cs="Times New Roman"/>
          <w:sz w:val="20"/>
          <w:szCs w:val="20"/>
        </w:rPr>
        <w:t>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подтверждающего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27 00095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проведение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обез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вреживанию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размещению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отходов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 -IV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классов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опасности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26.09.2012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Бессрочная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выдавший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</w:t>
      </w:r>
      <w:r>
        <w:rPr>
          <w:rFonts w:ascii="Times New Roman" w:hAnsi="Times New Roman" w:cs="Times New Roman"/>
          <w:sz w:val="20"/>
          <w:szCs w:val="20"/>
        </w:rPr>
        <w:t>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лицензию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Федеральная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служба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надзору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сфере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транспорта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подтверждающего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2704838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>бот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проведение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Погрузочно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разгрузочная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применительно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опасным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грузам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железнодорожном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транспорте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05.10.2009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Бессрочная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выдавший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лицензию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Министерство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природных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ресурсо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Правительства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подтверждающего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00176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ОЭ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проведение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</w:t>
      </w:r>
      <w:r>
        <w:rPr>
          <w:rFonts w:ascii="Times New Roman" w:hAnsi="Times New Roman" w:cs="Times New Roman"/>
          <w:sz w:val="20"/>
          <w:szCs w:val="20"/>
        </w:rPr>
        <w:t>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Добыча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строительного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камня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месторождении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Большая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Дюанка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23.11.2005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31.12.2024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</w:t>
      </w:r>
      <w:r>
        <w:rPr>
          <w:rFonts w:ascii="Times New Roman" w:hAnsi="Times New Roman" w:cs="Times New Roman"/>
          <w:sz w:val="20"/>
          <w:szCs w:val="20"/>
        </w:rPr>
        <w:t>ган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выдавший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лицензию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Министерство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образования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науки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подтверждающего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628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проведение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Ведение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образовательной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соответствии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приложением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</w:t>
      </w:r>
      <w:r>
        <w:rPr>
          <w:rFonts w:ascii="Times New Roman" w:hAnsi="Times New Roman" w:cs="Times New Roman"/>
          <w:sz w:val="20"/>
          <w:szCs w:val="20"/>
        </w:rPr>
        <w:t>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30.11.2017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Бессрочная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выдавший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лицензию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Федеральная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служба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надзору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сфере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транспорта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подтверждающего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017980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проведение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тельность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буксировок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морским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транспортом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19.05.2003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лицензии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Бессрочная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3.2.6.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отдельных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категорий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эмитентов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инвестиционным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фондом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страховой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кредитной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ипотечным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специализированным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3.2.7. </w:t>
      </w: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требования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являет</w:t>
      </w:r>
      <w:r>
        <w:rPr>
          <w:rFonts w:ascii="Times New Roman" w:hAnsi="Times New Roman" w:cs="Times New Roman"/>
          <w:b/>
          <w:bCs/>
          <w:sz w:val="22"/>
          <w:szCs w:val="22"/>
        </w:rPr>
        <w:t>ся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добыча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полезных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ископаемых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добыча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полезных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ископаемых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подконтрольных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добыча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полезных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ископаемых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3.2.8. </w:t>
      </w: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</w:t>
      </w:r>
      <w:r>
        <w:rPr>
          <w:rFonts w:ascii="Times New Roman" w:hAnsi="Times New Roman" w:cs="Times New Roman"/>
          <w:b/>
          <w:bCs/>
          <w:sz w:val="22"/>
          <w:szCs w:val="22"/>
        </w:rPr>
        <w:t>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является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оказание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услуг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связи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оказание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3.3. </w:t>
      </w:r>
      <w:r>
        <w:rPr>
          <w:rFonts w:ascii="Times New Roman" w:hAnsi="Times New Roman" w:cs="Times New Roman"/>
          <w:b/>
          <w:bCs/>
          <w:sz w:val="22"/>
          <w:szCs w:val="22"/>
        </w:rPr>
        <w:t>Планы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будущей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3.4.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банковских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группах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банковских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холдингах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холдингах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ассоциациях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3.5. </w:t>
      </w:r>
      <w:r>
        <w:rPr>
          <w:rFonts w:ascii="Times New Roman" w:hAnsi="Times New Roman" w:cs="Times New Roman"/>
          <w:b/>
          <w:bCs/>
          <w:sz w:val="22"/>
          <w:szCs w:val="22"/>
        </w:rPr>
        <w:t>Подконтрольные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имеющие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существенное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значение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3.6.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структура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стоимость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средств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планах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приобретению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замене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выбытию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средств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всех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фактах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обременения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</w:t>
      </w:r>
      <w:r>
        <w:rPr>
          <w:rFonts w:ascii="Times New Roman" w:hAnsi="Times New Roman" w:cs="Times New Roman"/>
          <w:b/>
          <w:bCs/>
          <w:sz w:val="22"/>
          <w:szCs w:val="22"/>
        </w:rPr>
        <w:t>вных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средств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IV.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хозяйственной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4.1. </w:t>
      </w:r>
      <w:r>
        <w:rPr>
          <w:rFonts w:ascii="Times New Roman" w:hAnsi="Times New Roman" w:cs="Times New Roman"/>
          <w:b/>
          <w:bCs/>
          <w:sz w:val="22"/>
          <w:szCs w:val="22"/>
        </w:rPr>
        <w:t>Результаты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финансово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хозяйственной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4.2. </w:t>
      </w:r>
      <w:r>
        <w:rPr>
          <w:rFonts w:ascii="Times New Roman" w:hAnsi="Times New Roman" w:cs="Times New Roman"/>
          <w:b/>
          <w:bCs/>
          <w:sz w:val="22"/>
          <w:szCs w:val="22"/>
        </w:rPr>
        <w:t>Ликвидность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дос</w:t>
      </w:r>
      <w:r>
        <w:rPr>
          <w:rFonts w:ascii="Times New Roman" w:hAnsi="Times New Roman" w:cs="Times New Roman"/>
          <w:b/>
          <w:bCs/>
          <w:sz w:val="22"/>
          <w:szCs w:val="22"/>
        </w:rPr>
        <w:t>таточность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оборотных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средств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4.3.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вложения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4.4. </w:t>
      </w:r>
      <w:r>
        <w:rPr>
          <w:rFonts w:ascii="Times New Roman" w:hAnsi="Times New Roman" w:cs="Times New Roman"/>
          <w:b/>
          <w:bCs/>
          <w:sz w:val="22"/>
          <w:szCs w:val="22"/>
        </w:rPr>
        <w:t>Нематериальные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активы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4.5.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политике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расходах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области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научно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технического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развития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отношении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лицензий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патентов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новых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разработок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исследований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>квартал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4.6. </w:t>
      </w:r>
      <w:r>
        <w:rPr>
          <w:rFonts w:ascii="Times New Roman" w:hAnsi="Times New Roman" w:cs="Times New Roman"/>
          <w:b/>
          <w:bCs/>
          <w:sz w:val="22"/>
          <w:szCs w:val="22"/>
        </w:rPr>
        <w:t>Анализ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тенденций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развития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сфере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основной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</w:t>
      </w:r>
      <w:r>
        <w:rPr>
          <w:rFonts w:ascii="Times New Roman" w:hAnsi="Times New Roman" w:cs="Times New Roman"/>
          <w:sz w:val="20"/>
          <w:szCs w:val="20"/>
        </w:rPr>
        <w:t>тоящего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4.7. </w:t>
      </w:r>
      <w:r>
        <w:rPr>
          <w:rFonts w:ascii="Times New Roman" w:hAnsi="Times New Roman" w:cs="Times New Roman"/>
          <w:b/>
          <w:bCs/>
          <w:sz w:val="22"/>
          <w:szCs w:val="22"/>
        </w:rPr>
        <w:t>Анализ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факторов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условий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влияющих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4.8. </w:t>
      </w:r>
      <w:r>
        <w:rPr>
          <w:rFonts w:ascii="Times New Roman" w:hAnsi="Times New Roman" w:cs="Times New Roman"/>
          <w:b/>
          <w:bCs/>
          <w:sz w:val="22"/>
          <w:szCs w:val="22"/>
        </w:rPr>
        <w:t>Конкуренты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V. </w:t>
      </w:r>
      <w:r>
        <w:rPr>
          <w:rFonts w:ascii="Times New Roman" w:hAnsi="Times New Roman" w:cs="Times New Roman"/>
          <w:b/>
          <w:bCs/>
          <w:sz w:val="28"/>
          <w:szCs w:val="28"/>
        </w:rPr>
        <w:t>Подробные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входящих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хозяйственной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краткие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сотрудниках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5.1.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структуре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компетенции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управления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5.2. </w:t>
      </w: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лицах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входящих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управления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5.2.1.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совета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директоров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наблюдательного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совета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что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качестве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совещательных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наблюдательном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комитеты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наблюдательного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создавались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члены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наблюдат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ельного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участвуют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комитетов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наблюдательного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Склемина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Марина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Сергеевна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1983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24.08.2014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</w:t>
      </w:r>
      <w:r>
        <w:rPr>
          <w:rFonts w:ascii="Times New Roman" w:hAnsi="Times New Roman" w:cs="Times New Roman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</w:t>
      </w:r>
      <w:r>
        <w:rPr>
          <w:rFonts w:ascii="Times New Roman" w:hAnsi="Times New Roman" w:cs="Times New Roman"/>
          <w:sz w:val="20"/>
          <w:szCs w:val="20"/>
        </w:rPr>
        <w:t>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Синяк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Максим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Андреевич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1976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</w:t>
      </w:r>
      <w:r>
        <w:rPr>
          <w:rFonts w:ascii="Times New Roman" w:hAnsi="Times New Roman" w:cs="Times New Roman"/>
          <w:sz w:val="20"/>
          <w:szCs w:val="20"/>
        </w:rPr>
        <w:t>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</w:t>
      </w:r>
      <w:r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</w:t>
      </w:r>
      <w:r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</w:t>
      </w:r>
      <w:r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Кисел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Алексей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Юрьевич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председатель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1976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01.2013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финансам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</w:t>
      </w:r>
      <w:r>
        <w:rPr>
          <w:rFonts w:ascii="Times New Roman" w:hAnsi="Times New Roman" w:cs="Times New Roman"/>
          <w:sz w:val="20"/>
          <w:szCs w:val="20"/>
        </w:rPr>
        <w:t>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</w:t>
      </w:r>
      <w:r>
        <w:rPr>
          <w:rFonts w:ascii="Times New Roman" w:hAnsi="Times New Roman" w:cs="Times New Roman"/>
          <w:sz w:val="20"/>
          <w:szCs w:val="20"/>
        </w:rPr>
        <w:t>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Лебедев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Алексей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Викторович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1974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</w:t>
      </w:r>
      <w:r>
        <w:rPr>
          <w:rFonts w:ascii="Times New Roman" w:hAnsi="Times New Roman" w:cs="Times New Roman"/>
          <w:sz w:val="20"/>
          <w:szCs w:val="20"/>
        </w:rPr>
        <w:t>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15.08.2016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02.2016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Посьет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Камбарка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08.2014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05.2017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</w:t>
      </w:r>
      <w:r>
        <w:rPr>
          <w:rFonts w:ascii="Times New Roman" w:hAnsi="Times New Roman" w:cs="Times New Roman"/>
          <w:sz w:val="20"/>
          <w:szCs w:val="20"/>
        </w:rPr>
        <w:t>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</w:t>
      </w:r>
      <w:r>
        <w:rPr>
          <w:rFonts w:ascii="Times New Roman" w:hAnsi="Times New Roman" w:cs="Times New Roman"/>
          <w:sz w:val="20"/>
          <w:szCs w:val="20"/>
        </w:rPr>
        <w:t>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Дмитраков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Евгений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Станиславович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1980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12.2011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</w:t>
      </w:r>
      <w:r>
        <w:rPr>
          <w:rFonts w:ascii="Times New Roman" w:hAnsi="Times New Roman" w:cs="Times New Roman"/>
          <w:sz w:val="20"/>
          <w:szCs w:val="20"/>
        </w:rPr>
        <w:t>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Дарбинян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Минас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Арсенович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1983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11.2013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Холдинг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12.2014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Uranium One Holding N.V.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06.2015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контролю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07.2015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06.2017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Посьет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05.2017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</w:t>
      </w:r>
      <w:r>
        <w:rPr>
          <w:rFonts w:ascii="Times New Roman" w:hAnsi="Times New Roman" w:cs="Times New Roman"/>
          <w:sz w:val="20"/>
          <w:szCs w:val="20"/>
        </w:rPr>
        <w:t>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</w:t>
      </w:r>
      <w:r>
        <w:rPr>
          <w:rFonts w:ascii="Times New Roman" w:hAnsi="Times New Roman" w:cs="Times New Roman"/>
          <w:sz w:val="20"/>
          <w:szCs w:val="20"/>
        </w:rPr>
        <w:t>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</w:t>
      </w:r>
      <w:r>
        <w:rPr>
          <w:rFonts w:ascii="Times New Roman" w:hAnsi="Times New Roman" w:cs="Times New Roman"/>
          <w:sz w:val="20"/>
          <w:szCs w:val="20"/>
        </w:rPr>
        <w:t>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</w:t>
      </w:r>
      <w:r>
        <w:rPr>
          <w:rFonts w:ascii="Times New Roman" w:hAnsi="Times New Roman" w:cs="Times New Roman"/>
          <w:sz w:val="20"/>
          <w:szCs w:val="20"/>
        </w:rPr>
        <w:t>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>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Являлся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членом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ЧМК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"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период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возбуждения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банкротстве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Гусев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Владимир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Васильевич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1945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</w:t>
      </w:r>
      <w:r>
        <w:rPr>
          <w:rFonts w:ascii="Times New Roman" w:hAnsi="Times New Roman" w:cs="Times New Roman"/>
          <w:sz w:val="20"/>
          <w:szCs w:val="20"/>
        </w:rPr>
        <w:t>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30.06.2016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</w:t>
      </w:r>
      <w:r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</w:t>
      </w:r>
      <w:r>
        <w:rPr>
          <w:rFonts w:ascii="Times New Roman" w:hAnsi="Times New Roman" w:cs="Times New Roman"/>
          <w:sz w:val="20"/>
          <w:szCs w:val="20"/>
        </w:rPr>
        <w:t>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5.2.2. </w:t>
      </w: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единоличном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исполнительном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Дмит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раков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Евгений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Станиславович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1980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12.2011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10.2016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</w:t>
      </w:r>
      <w:r>
        <w:rPr>
          <w:rFonts w:ascii="Times New Roman" w:hAnsi="Times New Roman" w:cs="Times New Roman"/>
          <w:sz w:val="20"/>
          <w:szCs w:val="20"/>
        </w:rPr>
        <w:t>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складочном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паевом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фонде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</w:t>
      </w:r>
      <w:r>
        <w:rPr>
          <w:rFonts w:ascii="Times New Roman" w:hAnsi="Times New Roman" w:cs="Times New Roman"/>
          <w:sz w:val="20"/>
          <w:szCs w:val="20"/>
        </w:rPr>
        <w:t>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</w:t>
      </w:r>
      <w:r>
        <w:rPr>
          <w:rFonts w:ascii="Times New Roman" w:hAnsi="Times New Roman" w:cs="Times New Roman"/>
          <w:sz w:val="20"/>
          <w:szCs w:val="20"/>
        </w:rPr>
        <w:t>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5.2.3.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коллегиального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исполнительного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Коллегиальный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полнительный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предусмотрен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5.3.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вознаграждения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компенсации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расходов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каждому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управления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исключением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функции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единоличного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Указываются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заработная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премии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комиссионные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льготы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компенсации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расходов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имущественные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представления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Вознаграждения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иректоров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6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тыс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23 695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23 695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6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относительно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году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Трудовые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заключенные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членами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являющимися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работниками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".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Компенсации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тыс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Дополнительная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5.4.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структуре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компетенции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финансово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хозяйственной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системы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управления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рисками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внутреннего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контроля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5.5. </w:t>
      </w: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лицах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входящих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финансово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хозяйственной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Ревизионная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ссия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Петровская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Галина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Викторовна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1972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складочном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паевом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фонде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</w:t>
      </w:r>
      <w:r>
        <w:rPr>
          <w:rFonts w:ascii="Times New Roman" w:hAnsi="Times New Roman" w:cs="Times New Roman"/>
          <w:sz w:val="20"/>
          <w:szCs w:val="20"/>
        </w:rPr>
        <w:t>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</w:t>
      </w:r>
      <w:r>
        <w:rPr>
          <w:rFonts w:ascii="Times New Roman" w:hAnsi="Times New Roman" w:cs="Times New Roman"/>
          <w:sz w:val="20"/>
          <w:szCs w:val="20"/>
        </w:rPr>
        <w:t>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Долгова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Ольга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Владимировна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1969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</w:t>
      </w:r>
      <w:r>
        <w:rPr>
          <w:rFonts w:ascii="Times New Roman" w:hAnsi="Times New Roman" w:cs="Times New Roman"/>
          <w:sz w:val="20"/>
          <w:szCs w:val="20"/>
        </w:rPr>
        <w:t>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03.1997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складочном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паевом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фонде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z w:val="20"/>
          <w:szCs w:val="20"/>
        </w:rPr>
        <w:t>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</w:t>
      </w:r>
      <w:r>
        <w:rPr>
          <w:rFonts w:ascii="Times New Roman" w:hAnsi="Times New Roman" w:cs="Times New Roman"/>
          <w:sz w:val="20"/>
          <w:szCs w:val="20"/>
        </w:rPr>
        <w:t>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Безденежных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Юрьевич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1984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хронологическом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03.2013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складочном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капи</w:t>
      </w:r>
      <w:r>
        <w:rPr>
          <w:rFonts w:ascii="Times New Roman" w:hAnsi="Times New Roman" w:cs="Times New Roman"/>
          <w:sz w:val="20"/>
          <w:szCs w:val="20"/>
        </w:rPr>
        <w:t>тале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паевом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фонде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</w:t>
      </w:r>
      <w:r>
        <w:rPr>
          <w:rFonts w:ascii="Times New Roman" w:hAnsi="Times New Roman" w:cs="Times New Roman"/>
          <w:sz w:val="20"/>
          <w:szCs w:val="20"/>
        </w:rPr>
        <w:t>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категории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типа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приобретены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опционам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дочернего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приобретены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дочернего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зависимого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характере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входящими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связей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привлечении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правонарушения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налогов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сборов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бумаг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головной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наличии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судимости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экономики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власти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привлекалось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занятии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коммерч</w:t>
      </w:r>
      <w:r>
        <w:rPr>
          <w:rFonts w:ascii="Times New Roman" w:hAnsi="Times New Roman" w:cs="Times New Roman"/>
          <w:sz w:val="20"/>
          <w:szCs w:val="20"/>
        </w:rPr>
        <w:t>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возбуждено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введена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банкротства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несостоятельности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банкротстве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жностей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занимало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5.6.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вознаграждения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компенсации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расходов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финансово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хозяйственной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Вознаграждения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сключением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занимающего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функции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ревизора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описываются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включая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заработную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членов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явл</w:t>
      </w:r>
      <w:r>
        <w:rPr>
          <w:rFonts w:ascii="Times New Roman" w:hAnsi="Times New Roman" w:cs="Times New Roman"/>
          <w:sz w:val="20"/>
          <w:szCs w:val="20"/>
        </w:rPr>
        <w:t>яющихся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являвшихся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работниками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работающих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работавших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совместительству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премии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комиссионные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отдельно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выплачиваемые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</w:t>
      </w:r>
      <w:r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вознаграждения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выплачены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описываются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расходы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связанные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функций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членов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</w:t>
      </w:r>
      <w:r>
        <w:rPr>
          <w:rFonts w:ascii="Times New Roman" w:hAnsi="Times New Roman" w:cs="Times New Roman"/>
          <w:sz w:val="20"/>
          <w:szCs w:val="20"/>
        </w:rPr>
        <w:t>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компенсированные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тыс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хозяйственной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Ревизионная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комиссия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Вознаграждение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</w:t>
      </w:r>
      <w:r>
        <w:rPr>
          <w:rFonts w:ascii="Times New Roman" w:hAnsi="Times New Roman" w:cs="Times New Roman"/>
          <w:sz w:val="20"/>
          <w:szCs w:val="20"/>
        </w:rPr>
        <w:t>нтроля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6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тыс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эмитента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3 970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6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относительно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выплат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году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Трудовые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заключенные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членами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ревизионной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комиссии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",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являющимися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работниками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Компенсации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тыс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Дополнительная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5.7. </w:t>
      </w:r>
      <w:r>
        <w:rPr>
          <w:rFonts w:ascii="Times New Roman" w:hAnsi="Times New Roman" w:cs="Times New Roman"/>
          <w:b/>
          <w:bCs/>
          <w:sz w:val="22"/>
          <w:szCs w:val="22"/>
        </w:rPr>
        <w:t>Данные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численности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обобщенные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данные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сотрудников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работников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изменении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численности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сотру</w:t>
      </w:r>
      <w:r>
        <w:rPr>
          <w:rFonts w:ascii="Times New Roman" w:hAnsi="Times New Roman" w:cs="Times New Roman"/>
          <w:b/>
          <w:bCs/>
          <w:sz w:val="22"/>
          <w:szCs w:val="22"/>
        </w:rPr>
        <w:t>дников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работников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тыс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1 037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719 061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3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00000" w:rsidRDefault="00657125">
            <w:pPr>
              <w:widowControl w:val="0"/>
              <w:autoSpaceDE w:val="0"/>
              <w:autoSpaceDN w:val="0"/>
              <w:adjustRightInd w:val="0"/>
              <w:spacing w:before="20" w:after="40"/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12 208</w:t>
            </w:r>
          </w:p>
        </w:tc>
      </w:tr>
    </w:tbl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"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создан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профсоюзный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комитет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5.8.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любых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обязательствах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перед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сотрудниками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работниками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), </w:t>
      </w:r>
      <w:r>
        <w:rPr>
          <w:rFonts w:ascii="Times New Roman" w:hAnsi="Times New Roman" w:cs="Times New Roman"/>
          <w:b/>
          <w:bCs/>
          <w:sz w:val="22"/>
          <w:szCs w:val="22"/>
        </w:rPr>
        <w:t>касающихся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возможности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обязательств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перед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сотрудникам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работниками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касающихся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возможности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также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предоставляет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предусматривает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возможности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сотрудникам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работникам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опционов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VI.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акционерах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эми</w:t>
      </w:r>
      <w:r>
        <w:rPr>
          <w:rFonts w:ascii="Times New Roman" w:hAnsi="Times New Roman" w:cs="Times New Roman"/>
          <w:b/>
          <w:bCs/>
          <w:sz w:val="28"/>
          <w:szCs w:val="28"/>
        </w:rPr>
        <w:t>тента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совершенных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сделках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совершении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имелась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заинтересованность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6.1.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общем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количестве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акционеров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участников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ненулевыми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остатками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счетах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зарегистрированных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реестре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</w:t>
      </w:r>
      <w:r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1 498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номинальных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держателей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включенных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имевших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имеющих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составленный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реализации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номинальные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держатели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представляли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интересах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владели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владеют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акциями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1 612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включенных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имевших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имеющих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составленного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реализации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</w:t>
      </w:r>
      <w:r>
        <w:rPr>
          <w:rFonts w:ascii="Times New Roman" w:hAnsi="Times New Roman" w:cs="Times New Roman"/>
          <w:sz w:val="20"/>
          <w:szCs w:val="20"/>
        </w:rPr>
        <w:t>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номинальные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держатели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представляли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интересах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владели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владеют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акциями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10.07.2018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Владельцы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подлежали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включению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555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Владельцы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привилегирован</w:t>
      </w:r>
      <w:r>
        <w:rPr>
          <w:rFonts w:ascii="Times New Roman" w:hAnsi="Times New Roman" w:cs="Times New Roman"/>
          <w:sz w:val="20"/>
          <w:szCs w:val="20"/>
        </w:rPr>
        <w:t>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подлежали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включению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1 538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находящихся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балансе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Собственных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находящихся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балансе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</w:t>
      </w:r>
      <w:r>
        <w:rPr>
          <w:rFonts w:ascii="Times New Roman" w:hAnsi="Times New Roman" w:cs="Times New Roman"/>
          <w:sz w:val="20"/>
          <w:szCs w:val="20"/>
        </w:rPr>
        <w:t>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подконтрольным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организациям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обыкновенные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подконтрольным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организациям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26 304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6.2.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участниках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акционерах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владеющих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пят</w:t>
      </w:r>
      <w:r>
        <w:rPr>
          <w:rFonts w:ascii="Times New Roman" w:hAnsi="Times New Roman" w:cs="Times New Roman"/>
          <w:b/>
          <w:bCs/>
          <w:sz w:val="22"/>
          <w:szCs w:val="22"/>
        </w:rPr>
        <w:t>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обыкновенных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контролирующих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участников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акционеров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лицах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случае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отсутствия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лиц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участниках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акционерах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), </w:t>
      </w:r>
      <w:r>
        <w:rPr>
          <w:rFonts w:ascii="Times New Roman" w:hAnsi="Times New Roman" w:cs="Times New Roman"/>
          <w:b/>
          <w:bCs/>
          <w:sz w:val="22"/>
          <w:szCs w:val="22"/>
        </w:rPr>
        <w:t>владеющих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20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обыкновенных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акционеры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</w:t>
      </w:r>
      <w:r>
        <w:rPr>
          <w:rFonts w:ascii="Times New Roman" w:hAnsi="Times New Roman" w:cs="Times New Roman"/>
          <w:sz w:val="20"/>
          <w:szCs w:val="20"/>
        </w:rPr>
        <w:t>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1066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Фемистокли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Дерви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3,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Джулия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хаус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17.76%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23.68%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контролирующие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акционеры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указываемые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усмотрению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ограниченной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ветственностью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ООО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682860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район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рабочий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поселок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Железнодорожная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ежилое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помещение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2709014550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1132709000533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19.5%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26%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контролирующие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2.1.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морской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торговый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рабочий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поселок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2709001590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1022700711450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контролирующее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осуществляет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контроль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являющемся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акционером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заключение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простого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товарищества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заключение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поручения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заключение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</w:t>
      </w:r>
      <w:r>
        <w:rPr>
          <w:rFonts w:ascii="Times New Roman" w:hAnsi="Times New Roman" w:cs="Times New Roman"/>
          <w:sz w:val="20"/>
          <w:szCs w:val="20"/>
        </w:rPr>
        <w:t>ашения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заключение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предметом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удостоверенных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акциями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долями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являющегося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акционером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юридическом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являющемся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Признак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</w:t>
      </w:r>
      <w:r>
        <w:rPr>
          <w:rFonts w:ascii="Times New Roman" w:hAnsi="Times New Roman" w:cs="Times New Roman"/>
          <w:sz w:val="20"/>
          <w:szCs w:val="20"/>
        </w:rPr>
        <w:t>твления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лицом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контролирующим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распоряжаться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более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процентами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голосов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высшем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юридического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являющегося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участником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прямой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контроль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складочном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0%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0%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указываемые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усмотр</w:t>
      </w:r>
      <w:r>
        <w:rPr>
          <w:rFonts w:ascii="Times New Roman" w:hAnsi="Times New Roman" w:cs="Times New Roman"/>
          <w:sz w:val="20"/>
          <w:szCs w:val="20"/>
        </w:rPr>
        <w:t>ению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1070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Тлаис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тауэр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Роману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601, 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 601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</w:t>
      </w:r>
      <w:r>
        <w:rPr>
          <w:rFonts w:ascii="Times New Roman" w:hAnsi="Times New Roman" w:cs="Times New Roman"/>
          <w:sz w:val="20"/>
          <w:szCs w:val="20"/>
        </w:rPr>
        <w:t>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16.23%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21.64%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контролирующие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акционеры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владею</w:t>
      </w:r>
      <w:r>
        <w:rPr>
          <w:rFonts w:ascii="Times New Roman" w:hAnsi="Times New Roman" w:cs="Times New Roman"/>
          <w:sz w:val="20"/>
          <w:szCs w:val="20"/>
        </w:rPr>
        <w:t>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указываемые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усмотрению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1105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андреас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Рупел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14.98%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19.97%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контролирующие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акционеры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указываемые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усмотрению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</w:t>
      </w:r>
      <w:r>
        <w:rPr>
          <w:rFonts w:ascii="Times New Roman" w:hAnsi="Times New Roman" w:cs="Times New Roman"/>
          <w:sz w:val="20"/>
          <w:szCs w:val="20"/>
        </w:rPr>
        <w:t>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2028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Строволос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Лакедаймониас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15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14.67%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</w:t>
      </w:r>
      <w:r>
        <w:rPr>
          <w:rFonts w:ascii="Times New Roman" w:hAnsi="Times New Roman" w:cs="Times New Roman"/>
          <w:sz w:val="20"/>
          <w:szCs w:val="20"/>
        </w:rPr>
        <w:t>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3.71%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контролирующие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акционеры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предоставлена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указываемые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усмотрению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6.3.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государства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муниципального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обр</w:t>
      </w:r>
      <w:r>
        <w:rPr>
          <w:rFonts w:ascii="Times New Roman" w:hAnsi="Times New Roman" w:cs="Times New Roman"/>
          <w:b/>
          <w:bCs/>
          <w:sz w:val="22"/>
          <w:szCs w:val="22"/>
        </w:rPr>
        <w:t>азования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наличии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специального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права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('</w:t>
      </w:r>
      <w:r>
        <w:rPr>
          <w:rFonts w:ascii="Times New Roman" w:hAnsi="Times New Roman" w:cs="Times New Roman"/>
          <w:b/>
          <w:bCs/>
          <w:sz w:val="22"/>
          <w:szCs w:val="22"/>
        </w:rPr>
        <w:t>золотой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акции</w:t>
      </w:r>
      <w:r>
        <w:rPr>
          <w:rFonts w:ascii="Times New Roman" w:hAnsi="Times New Roman" w:cs="Times New Roman"/>
          <w:b/>
          <w:bCs/>
          <w:sz w:val="22"/>
          <w:szCs w:val="22"/>
        </w:rPr>
        <w:t>')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управляющих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муниципальными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пакетами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субъекта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</w:t>
      </w:r>
      <w:r>
        <w:rPr>
          <w:rFonts w:ascii="Times New Roman" w:hAnsi="Times New Roman" w:cs="Times New Roman"/>
          <w:sz w:val="20"/>
          <w:szCs w:val="20"/>
        </w:rPr>
        <w:t>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функции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акционера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субъектов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акционерным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</w:t>
      </w:r>
      <w:r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('</w:t>
      </w:r>
      <w:r>
        <w:rPr>
          <w:rFonts w:ascii="Times New Roman" w:hAnsi="Times New Roman" w:cs="Times New Roman"/>
          <w:sz w:val="20"/>
          <w:szCs w:val="20"/>
        </w:rPr>
        <w:t>золотой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акции</w:t>
      </w:r>
      <w:r>
        <w:rPr>
          <w:rFonts w:ascii="Times New Roman" w:hAnsi="Times New Roman" w:cs="Times New Roman"/>
          <w:sz w:val="20"/>
          <w:szCs w:val="20"/>
        </w:rPr>
        <w:t xml:space="preserve">'), </w:t>
      </w:r>
      <w:r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 xml:space="preserve"> ('</w:t>
      </w:r>
      <w:r>
        <w:rPr>
          <w:rFonts w:ascii="Times New Roman" w:hAnsi="Times New Roman" w:cs="Times New Roman"/>
          <w:sz w:val="20"/>
          <w:szCs w:val="20"/>
        </w:rPr>
        <w:t>золотой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акции</w:t>
      </w:r>
      <w:r>
        <w:rPr>
          <w:rFonts w:ascii="Times New Roman" w:hAnsi="Times New Roman" w:cs="Times New Roman"/>
          <w:sz w:val="20"/>
          <w:szCs w:val="20"/>
        </w:rPr>
        <w:t>')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предусмотрено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6.4.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ограничениях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Ограничений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6.5.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изменен</w:t>
      </w:r>
      <w:r>
        <w:rPr>
          <w:rFonts w:ascii="Times New Roman" w:hAnsi="Times New Roman" w:cs="Times New Roman"/>
          <w:b/>
          <w:bCs/>
          <w:sz w:val="22"/>
          <w:szCs w:val="22"/>
        </w:rPr>
        <w:t>иях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акционеров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участников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владеющих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обыкновенных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владевших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являющихся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обществами</w:t>
      </w:r>
      <w:r>
        <w:rPr>
          <w:rFonts w:ascii="Times New Roman" w:hAnsi="Times New Roman" w:cs="Times New Roman"/>
          <w:sz w:val="20"/>
          <w:szCs w:val="20"/>
        </w:rPr>
        <w:t xml:space="preserve">, -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пятью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определенные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каждом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</w:t>
      </w:r>
      <w:r>
        <w:rPr>
          <w:rFonts w:ascii="Times New Roman" w:hAnsi="Times New Roman" w:cs="Times New Roman"/>
          <w:sz w:val="20"/>
          <w:szCs w:val="20"/>
        </w:rPr>
        <w:t>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проведенном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предшествующий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ждом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15.05.2017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</w:t>
      </w:r>
      <w:r>
        <w:rPr>
          <w:rFonts w:ascii="Times New Roman" w:hAnsi="Times New Roman" w:cs="Times New Roman"/>
          <w:sz w:val="20"/>
          <w:szCs w:val="20"/>
        </w:rPr>
        <w:t>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1105,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Рупел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Андреас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14.98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19.97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ТИТАН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ТИТАН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107140,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Москва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Красносельская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Верхняя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строение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помещение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7708793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448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1137746613608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18.75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24.99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1070,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Роману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2,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Тлаис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Тауэр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601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16.23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21.64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>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2364,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Созу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Дометиос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29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17.76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23.68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1095,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Лампусас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14.67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3.71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06.06.2017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</w:t>
      </w:r>
      <w:r>
        <w:rPr>
          <w:rFonts w:ascii="Times New Roman" w:hAnsi="Times New Roman" w:cs="Times New Roman"/>
          <w:sz w:val="20"/>
          <w:szCs w:val="20"/>
        </w:rPr>
        <w:t>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1105,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Рупел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Андреас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14.98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19.97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ТИТАН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ТИТАН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107140,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ерация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Москва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Красносельская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Верхняя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строение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помещение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7708793448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1137746613608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18.75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24.99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z w:val="20"/>
          <w:szCs w:val="20"/>
        </w:rPr>
        <w:t>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1070,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Роману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2,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Тлаис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Тауэр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601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</w:t>
      </w:r>
      <w:r>
        <w:rPr>
          <w:rFonts w:ascii="Times New Roman" w:hAnsi="Times New Roman" w:cs="Times New Roman"/>
          <w:sz w:val="20"/>
          <w:szCs w:val="20"/>
        </w:rPr>
        <w:t>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16.23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21.64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2364,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Созу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29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17.76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23.68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1095,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Лампусас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14.67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3.71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20.05.2018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</w:t>
      </w:r>
      <w:r>
        <w:rPr>
          <w:rFonts w:ascii="Times New Roman" w:hAnsi="Times New Roman" w:cs="Times New Roman"/>
          <w:sz w:val="20"/>
          <w:szCs w:val="20"/>
        </w:rPr>
        <w:t>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1105,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Андреас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Рупел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14.98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19.97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ограниченной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тственностью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ООО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682860,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район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рабочий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поселок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Железнодорожная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нежилое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помещение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2709014550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1132709000533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1070,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Роману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2,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Тлаис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Тауэр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601, 6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16.23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21.64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</w:t>
      </w:r>
      <w:r>
        <w:rPr>
          <w:rFonts w:ascii="Times New Roman" w:hAnsi="Times New Roman" w:cs="Times New Roman"/>
          <w:sz w:val="20"/>
          <w:szCs w:val="20"/>
        </w:rPr>
        <w:t>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1066,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Фемистокли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Дерви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3,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Джулия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хаус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7.76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23.68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1095,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Лампусас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14.67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3.71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10.07.2018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акционеров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СЕДМИНО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ИНВЕСТМЕНТС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1105,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Агиос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Андреас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Рупел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14.98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19.97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ограниченной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ответственностью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ООО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инанс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682860,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Хабаровский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край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Ванинский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район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рабочий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поселок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Ванино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Железнодорожная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1,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управление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порта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5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нежилое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помещение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2709014550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1132709000533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9.5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СТАТУЛА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ХОЛДИНГЗ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1070,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Роману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2,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Тлаис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Тауэр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офис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601, 6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этаж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16.23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21.64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ОПЕРН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1066,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Фемистокли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Дерви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3,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Джулия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хаус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17.76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23.68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>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ТРАВИНЕ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ТРЕЙДИНГ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ЛИМИТЕД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2028,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Кипр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Никосия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Строволос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Лакедаймониас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15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резидентом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РФ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14.67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принадлежавших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обыкновенных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3.71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Титан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",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списках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имеющих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собраниях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акционеров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15.05.2017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06.06.2017,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рассчитывалась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учетом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голос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акциям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находящимся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залоге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6.6.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совершенных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сделках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совершении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имелась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заинтересованность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сделок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совершалось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6.7.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дебиторской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задолженности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квартале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sz w:val="28"/>
          <w:szCs w:val="28"/>
        </w:rPr>
        <w:t>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VII. </w:t>
      </w:r>
      <w:r>
        <w:rPr>
          <w:rFonts w:ascii="Times New Roman" w:hAnsi="Times New Roman" w:cs="Times New Roman"/>
          <w:b/>
          <w:bCs/>
          <w:sz w:val="28"/>
          <w:szCs w:val="28"/>
        </w:rPr>
        <w:t>Бухгалтерская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7.1. </w:t>
      </w:r>
      <w:r>
        <w:rPr>
          <w:rFonts w:ascii="Times New Roman" w:hAnsi="Times New Roman" w:cs="Times New Roman"/>
          <w:b/>
          <w:bCs/>
          <w:sz w:val="22"/>
          <w:szCs w:val="22"/>
        </w:rPr>
        <w:t>Годовая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бухгалтерская</w:t>
      </w: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отчетность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указывается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данном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7.2. </w:t>
      </w:r>
      <w:r>
        <w:rPr>
          <w:rFonts w:ascii="Times New Roman" w:hAnsi="Times New Roman" w:cs="Times New Roman"/>
          <w:b/>
          <w:bCs/>
          <w:sz w:val="22"/>
          <w:szCs w:val="22"/>
        </w:rPr>
        <w:t>Промежуточная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бухгалтерская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отчетность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указывается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данном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7.3. </w:t>
      </w:r>
      <w:r>
        <w:rPr>
          <w:rFonts w:ascii="Times New Roman" w:hAnsi="Times New Roman" w:cs="Times New Roman"/>
          <w:b/>
          <w:bCs/>
          <w:sz w:val="22"/>
          <w:szCs w:val="22"/>
        </w:rPr>
        <w:t>Консолидированная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отчетность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составляет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консолидированную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финансовую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отчетность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обязан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консолидированную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финансовую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отчетность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осуществлял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регистрации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проспекта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бумаг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также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представления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проспекта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бумаг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бирже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для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допуска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бумаг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организованным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соответствии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осуществляет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раскрытие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ежеквартальных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указаны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введении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ежеквартальному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отчету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Также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входит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круг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субъектов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определенных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.1.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.2.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Федерального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закона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208-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ФЗ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20.07.2010 "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консолидированной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"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обязанных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составлять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консолидированную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финансовую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отчетность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7.4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учетной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политике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7.5.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общей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сумме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экспорта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которую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составляет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экспорт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общем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объеме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продаж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</w:t>
      </w:r>
      <w:r>
        <w:rPr>
          <w:rFonts w:ascii="Times New Roman" w:hAnsi="Times New Roman" w:cs="Times New Roman"/>
          <w:sz w:val="20"/>
          <w:szCs w:val="20"/>
        </w:rPr>
        <w:t>тном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квартале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7.6.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существенных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изменениях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произошедших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составе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имущества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после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даты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окончания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последнего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завершенного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отчетного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года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имущества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произошедших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течение</w:t>
      </w:r>
      <w:r>
        <w:rPr>
          <w:rFonts w:ascii="Times New Roman" w:hAnsi="Times New Roman" w:cs="Times New Roman"/>
          <w:sz w:val="20"/>
          <w:szCs w:val="20"/>
        </w:rPr>
        <w:t xml:space="preserve"> 12 </w:t>
      </w:r>
      <w:r>
        <w:rPr>
          <w:rFonts w:ascii="Times New Roman" w:hAnsi="Times New Roman" w:cs="Times New Roman"/>
          <w:sz w:val="20"/>
          <w:szCs w:val="20"/>
        </w:rPr>
        <w:t>месяцев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Существенных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имущества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произошедших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течение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месяцев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окончания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было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Дополнительная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отсутствует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7.7.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</w:t>
      </w:r>
      <w:r>
        <w:rPr>
          <w:rFonts w:ascii="Times New Roman" w:hAnsi="Times New Roman" w:cs="Times New Roman"/>
          <w:b/>
          <w:bCs/>
          <w:sz w:val="22"/>
          <w:szCs w:val="22"/>
        </w:rPr>
        <w:t>тии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судебных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процессах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случае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если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такое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может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существенно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отразиться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финансово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хозяйственной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деятельности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участвовал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судебных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процессах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отразились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могут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отразиться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хозяйстве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нной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течение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периода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начала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последнего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завершенного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финансового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года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даты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окончания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квартала</w:t>
      </w:r>
    </w:p>
    <w:p w:rsidR="00000000" w:rsidRDefault="00657125">
      <w:pPr>
        <w:widowControl w:val="0"/>
        <w:autoSpaceDE w:val="0"/>
        <w:autoSpaceDN w:val="0"/>
        <w:adjustRightInd w:val="0"/>
        <w:spacing w:before="360" w:after="120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VIII.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эмитенте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эмиссионных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бумагах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8.1. </w:t>
      </w: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>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эмитенте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8.1.1.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структуре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квартала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руб</w:t>
      </w:r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134 900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Обыкновенные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номинальная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101 175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75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Привилегирова</w:t>
      </w:r>
      <w:r>
        <w:rPr>
          <w:rFonts w:ascii="Times New Roman" w:hAnsi="Times New Roman" w:cs="Times New Roman"/>
          <w:sz w:val="20"/>
          <w:szCs w:val="20"/>
        </w:rPr>
        <w:t>нные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номинальная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33 725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4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</w:t>
      </w:r>
      <w:r>
        <w:rPr>
          <w:rFonts w:ascii="Times New Roman" w:hAnsi="Times New Roman" w:cs="Times New Roman"/>
          <w:sz w:val="20"/>
          <w:szCs w:val="20"/>
        </w:rPr>
        <w:t>, %: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25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величины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капитала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приведенной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учредительным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MS Mincho" w:eastAsia="MS Mincho" w:hAnsi="MS Mincho" w:cs="MS Mincho" w:hint="eastAsia"/>
          <w:sz w:val="20"/>
          <w:szCs w:val="20"/>
        </w:rPr>
        <w:t> 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Величина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уставного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капитала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приведенного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кте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соответствует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учредительным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документам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8.1.2.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изменении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размера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размера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данный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период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было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8.1.3.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порядке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созыва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собрания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заседания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высшего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управления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</w:t>
      </w:r>
      <w:r>
        <w:rPr>
          <w:rFonts w:ascii="Times New Roman" w:hAnsi="Times New Roman" w:cs="Times New Roman"/>
          <w:b/>
          <w:bCs/>
          <w:sz w:val="22"/>
          <w:szCs w:val="22"/>
        </w:rPr>
        <w:t>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8.1.4.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коммерческих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организациях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владеет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уставного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либо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менее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чем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пятью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процентами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обыкновенных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>кций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8.1.5.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существенных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сделках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совершенных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эмитентом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Сведения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данном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ежеквартального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раскрываются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основаниям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предусмотренным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действующ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000000" w:rsidRDefault="00657125">
      <w:pPr>
        <w:widowControl w:val="0"/>
        <w:autoSpaceDE w:val="0"/>
        <w:autoSpaceDN w:val="0"/>
        <w:adjustRightInd w:val="0"/>
        <w:spacing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8.1.6.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кредитных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рейтингах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8.2.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каждой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категории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типе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8.3.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предыдущих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выпусках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эмиссионных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ценных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бумаг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исключением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8.3.1.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выпусках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все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ценные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бумаги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погашены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8.3.2.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выпусках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ценные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бумаги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являются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погашенными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8.4.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лице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лицах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),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предоставившем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предоставивших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обеспече</w:t>
      </w:r>
      <w:r>
        <w:rPr>
          <w:rFonts w:ascii="Times New Roman" w:hAnsi="Times New Roman" w:cs="Times New Roman"/>
          <w:b/>
          <w:bCs/>
          <w:sz w:val="22"/>
          <w:szCs w:val="22"/>
        </w:rPr>
        <w:t>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облигациям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обеспечением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обеспечении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предоставленном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облигациям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обеспечением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регистрировал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проспект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облигаций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обеспечением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допуск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организованным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торгам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биржевых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облигаций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обеспечением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осущест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влялся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8.4.1. </w:t>
      </w: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ипотечном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покрытии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облигациям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ипотечным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покрытием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размещал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облигации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ипотечным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покрытием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обязательства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еще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исполнены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8.4.2. </w:t>
      </w: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залоговом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обеспечении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>
        <w:rPr>
          <w:rFonts w:ascii="Times New Roman" w:hAnsi="Times New Roman" w:cs="Times New Roman"/>
          <w:b/>
          <w:bCs/>
          <w:sz w:val="22"/>
          <w:szCs w:val="22"/>
        </w:rPr>
        <w:t>енежными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требованиями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облигациям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залоговым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обеспечением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денежными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требованиями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размещал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облигации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залоговым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обеспечением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денежными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требованиями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обязательства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еще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исполнены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8.5.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организациях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осуществляю</w:t>
      </w:r>
      <w:r>
        <w:rPr>
          <w:rFonts w:ascii="Times New Roman" w:hAnsi="Times New Roman" w:cs="Times New Roman"/>
          <w:b/>
          <w:bCs/>
          <w:sz w:val="22"/>
          <w:szCs w:val="22"/>
        </w:rPr>
        <w:t>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учет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прав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эмиссионные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ценные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бумаги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sz w:val="16"/>
          <w:szCs w:val="16"/>
        </w:rPr>
      </w:pP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8.6.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законодательных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актах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регулирующих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вопросы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импорта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экспорта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капитала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могут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повлиять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выпл</w:t>
      </w:r>
      <w:r>
        <w:rPr>
          <w:rFonts w:ascii="Times New Roman" w:hAnsi="Times New Roman" w:cs="Times New Roman"/>
          <w:b/>
          <w:bCs/>
          <w:sz w:val="22"/>
          <w:szCs w:val="22"/>
        </w:rPr>
        <w:t>ату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дивидендов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процентов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других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платежей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нерезидентам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8.7.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объявленных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начисленных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выплаченных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дивидендах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также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доходах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облигациям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8.7.1.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объявленных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выплаченных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дивидендах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акциям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8.7.2.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начисленных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выплаченных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доходах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облигациям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эмитента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составе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информации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настоящего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пункта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отчетном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квартале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происходили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8.8. </w:t>
      </w:r>
      <w:r>
        <w:rPr>
          <w:rFonts w:ascii="Times New Roman" w:hAnsi="Times New Roman" w:cs="Times New Roman"/>
          <w:b/>
          <w:bCs/>
          <w:sz w:val="22"/>
          <w:szCs w:val="22"/>
        </w:rPr>
        <w:t>Иные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000000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Отсутствуют</w:t>
      </w:r>
    </w:p>
    <w:p w:rsidR="00000000" w:rsidRDefault="00657125">
      <w:pPr>
        <w:widowControl w:val="0"/>
        <w:autoSpaceDE w:val="0"/>
        <w:autoSpaceDN w:val="0"/>
        <w:adjustRightInd w:val="0"/>
        <w:spacing w:before="240" w:after="40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8.9. </w:t>
      </w:r>
      <w:r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представляемых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ценных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бумагах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эмитенте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представляемых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ценных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бумаг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право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собственности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которые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удостоверяется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российски</w:t>
      </w:r>
      <w:r>
        <w:rPr>
          <w:rFonts w:ascii="Times New Roman" w:hAnsi="Times New Roman" w:cs="Times New Roman"/>
          <w:b/>
          <w:bCs/>
          <w:sz w:val="22"/>
          <w:szCs w:val="22"/>
        </w:rPr>
        <w:t>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депозитарными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расписками</w:t>
      </w:r>
    </w:p>
    <w:p w:rsidR="00657125" w:rsidRDefault="00657125">
      <w:pPr>
        <w:widowControl w:val="0"/>
        <w:autoSpaceDE w:val="0"/>
        <w:autoSpaceDN w:val="0"/>
        <w:adjustRightInd w:val="0"/>
        <w:spacing w:before="20" w:after="40"/>
        <w:ind w:left="200" w:right="-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является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эмитентом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представляемых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ценных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бумаг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собственности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которые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удостоверяется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российскими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депозитарными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расписками</w:t>
      </w:r>
    </w:p>
    <w:sectPr w:rsidR="00657125">
      <w:pgSz w:w="11900" w:h="16840"/>
      <w:pgMar w:top="1134" w:right="141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33"/>
    <w:rsid w:val="00657125"/>
    <w:rsid w:val="006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29410B5-8667-8D4D-A112-D63B451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12587</Words>
  <Characters>71752</Characters>
  <Application>Microsoft Office Word</Application>
  <DocSecurity>0</DocSecurity>
  <Lines>597</Lines>
  <Paragraphs>168</Paragraphs>
  <ScaleCrop>false</ScaleCrop>
  <Company/>
  <LinksUpToDate>false</LinksUpToDate>
  <CharactersWithSpaces>84171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Колотушкина А.В.</dc:creator>
  <cp:keywords/>
  <dc:description/>
  <cp:lastModifiedBy>Егор</cp:lastModifiedBy>
  <cp:revision>2</cp:revision>
  <dcterms:created xsi:type="dcterms:W3CDTF">2019-02-15T01:51:00Z</dcterms:created>
  <dcterms:modified xsi:type="dcterms:W3CDTF">2019-02-15T01:51:00Z</dcterms:modified>
</cp:coreProperties>
</file>